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Spec="center" w:tblpY="1645"/>
        <w:tblOverlap w:val="never"/>
        <w:tblW w:w="15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649"/>
        <w:gridCol w:w="4649"/>
        <w:gridCol w:w="4649"/>
      </w:tblGrid>
      <w:tr w:rsidR="002F7270" w:rsidRPr="00885BCE" w14:paraId="31FB911B" w14:textId="77777777" w:rsidTr="00F32A7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711E8443" w14:textId="77777777" w:rsidR="002F7270" w:rsidRPr="00885BCE" w:rsidRDefault="002F7270" w:rsidP="002F727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  <w:tc>
          <w:tcPr>
            <w:tcW w:w="13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4FBC5" w14:textId="77777777" w:rsidR="002F7270" w:rsidRPr="00885BCE" w:rsidRDefault="00260891" w:rsidP="002F72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24"/>
                <w:szCs w:val="24"/>
                <w:lang w:val="it-CH" w:eastAsia="de-DE"/>
              </w:rPr>
              <w:t>Formulari necessari</w:t>
            </w:r>
          </w:p>
        </w:tc>
      </w:tr>
      <w:tr w:rsidR="00335DBD" w:rsidRPr="00885BCE" w14:paraId="40E493EB" w14:textId="77777777" w:rsidTr="00F32A73">
        <w:trPr>
          <w:trHeight w:val="28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A78CD" w14:textId="77777777" w:rsidR="00335DBD" w:rsidRPr="00885BCE" w:rsidRDefault="00335DBD" w:rsidP="00335DB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F90899" w14:textId="77777777" w:rsidR="00335DBD" w:rsidRPr="00885BCE" w:rsidRDefault="008E1615" w:rsidP="0033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>Attivi</w:t>
            </w:r>
            <w:r w:rsidR="000E3A62" w:rsidRPr="00885BCE">
              <w:rPr>
                <w:rFonts w:eastAsia="Times New Roman" w:cs="Arial"/>
                <w:b/>
                <w:bCs/>
                <w:lang w:val="it-CH" w:eastAsia="de-DE"/>
              </w:rPr>
              <w:t>tà a pericolo elevato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50B"/>
            <w:vAlign w:val="center"/>
            <w:hideMark/>
          </w:tcPr>
          <w:p w14:paraId="0DCB8AEF" w14:textId="77777777" w:rsidR="00335DBD" w:rsidRPr="00885BCE" w:rsidRDefault="004658E7" w:rsidP="0033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 xml:space="preserve">Attività a </w:t>
            </w:r>
            <w:r w:rsidR="000E3A62" w:rsidRPr="00885BCE">
              <w:rPr>
                <w:rFonts w:eastAsia="Times New Roman" w:cs="Arial"/>
                <w:b/>
                <w:bCs/>
                <w:lang w:val="it-CH" w:eastAsia="de-DE"/>
              </w:rPr>
              <w:t>pericolo</w:t>
            </w: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 xml:space="preserve"> medio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9DB2E3" w14:textId="77777777" w:rsidR="00335DBD" w:rsidRPr="00885BCE" w:rsidRDefault="004658E7" w:rsidP="0033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 xml:space="preserve">Attività a </w:t>
            </w:r>
            <w:r w:rsidR="000E3A62" w:rsidRPr="00885BCE">
              <w:rPr>
                <w:rFonts w:eastAsia="Times New Roman" w:cs="Arial"/>
                <w:b/>
                <w:bCs/>
                <w:lang w:val="it-CH" w:eastAsia="de-DE"/>
              </w:rPr>
              <w:t>pericolo basso</w:t>
            </w:r>
          </w:p>
        </w:tc>
      </w:tr>
      <w:tr w:rsidR="00335DBD" w:rsidRPr="00885BCE" w14:paraId="2CC44783" w14:textId="77777777" w:rsidTr="00F32A73">
        <w:trPr>
          <w:trHeight w:val="1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B75F7" w14:textId="172B05EB" w:rsidR="00335DBD" w:rsidRPr="00885BCE" w:rsidRDefault="006231F6" w:rsidP="00EB26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PTW</w:t>
            </w:r>
            <w:r w:rsidR="00335DBD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br/>
            </w:r>
            <w:r w:rsidR="00EB2681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Modulo</w:t>
            </w:r>
            <w:r w:rsidR="002328E7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 </w:t>
            </w:r>
            <w:r w:rsidR="00E741C3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di</w:t>
            </w:r>
            <w:r w:rsidR="002328E7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br/>
              <w:t>permesso di lavoro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9452A" w14:textId="797F35AA" w:rsidR="00335DBD" w:rsidRPr="00885BCE" w:rsidRDefault="00EB2681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Modulo</w:t>
            </w:r>
            <w:r w:rsidR="002328E7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 </w:t>
            </w:r>
            <w:r w:rsidR="004658E7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PTW</w:t>
            </w:r>
            <w:r w:rsidR="002328E7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 obbligatorio</w:t>
            </w:r>
            <w:r w:rsidR="003A33F3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,</w:t>
            </w:r>
            <w:r w:rsidR="003A33F3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</w:t>
            </w:r>
            <w:r w:rsidR="002328E7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punto</w:t>
            </w:r>
            <w:r w:rsidR="003A33F3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1)</w:t>
            </w:r>
          </w:p>
          <w:p w14:paraId="249F648E" w14:textId="1F73EFFD" w:rsidR="00335DBD" w:rsidRPr="00885BCE" w:rsidRDefault="002328E7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Il </w:t>
            </w:r>
            <w:r w:rsidR="00335DB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PTW </w:t>
            </w: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deve </w:t>
            </w:r>
            <w:r w:rsidR="00271BE9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venire compilato </w:t>
            </w:r>
            <w:r w:rsidR="00EB2681">
              <w:rPr>
                <w:rFonts w:eastAsia="Times New Roman" w:cs="Arial"/>
                <w:sz w:val="16"/>
                <w:szCs w:val="16"/>
                <w:lang w:val="it-CH" w:eastAsia="de-DE"/>
              </w:rPr>
              <w:t>sul posto</w:t>
            </w:r>
            <w:r w:rsidR="00335DB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, </w:t>
            </w:r>
            <w:r w:rsidRPr="00885BCE">
              <w:rPr>
                <w:rFonts w:eastAsia="Times New Roman" w:cs="Arial"/>
                <w:sz w:val="12"/>
                <w:szCs w:val="12"/>
                <w:lang w:val="it-CH" w:eastAsia="de-DE"/>
              </w:rPr>
              <w:t>vedi punto</w:t>
            </w:r>
            <w:r w:rsidR="00335DBD" w:rsidRPr="00885BCE">
              <w:rPr>
                <w:rFonts w:eastAsia="Times New Roman" w:cs="Arial"/>
                <w:sz w:val="12"/>
                <w:szCs w:val="12"/>
                <w:lang w:val="it-CH" w:eastAsia="de-DE"/>
              </w:rPr>
              <w:t xml:space="preserve"> </w:t>
            </w:r>
            <w:r w:rsidR="003A33F3" w:rsidRPr="00885BCE">
              <w:rPr>
                <w:rFonts w:eastAsia="Times New Roman" w:cs="Arial"/>
                <w:sz w:val="12"/>
                <w:szCs w:val="12"/>
                <w:lang w:val="it-CH" w:eastAsia="de-DE"/>
              </w:rPr>
              <w:t>2</w:t>
            </w:r>
            <w:r w:rsidR="00335DBD" w:rsidRPr="00885BCE">
              <w:rPr>
                <w:rFonts w:eastAsia="Times New Roman" w:cs="Arial"/>
                <w:sz w:val="12"/>
                <w:szCs w:val="12"/>
                <w:lang w:val="it-CH" w:eastAsia="de-DE"/>
              </w:rPr>
              <w:t>)</w:t>
            </w:r>
          </w:p>
          <w:p w14:paraId="11E15EA6" w14:textId="0AC070EF" w:rsidR="00335DBD" w:rsidRPr="00885BCE" w:rsidRDefault="002328E7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Applicare il principio </w:t>
            </w:r>
            <w:r w:rsidR="007839C7">
              <w:rPr>
                <w:rFonts w:eastAsia="Times New Roman" w:cs="Arial"/>
                <w:sz w:val="16"/>
                <w:szCs w:val="16"/>
                <w:lang w:val="it-CH" w:eastAsia="de-DE"/>
              </w:rPr>
              <w:t>del doppio controllo</w:t>
            </w:r>
            <w:r w:rsidR="003A33F3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,</w:t>
            </w:r>
            <w:r w:rsidR="003A33F3" w:rsidRPr="00885BCE">
              <w:rPr>
                <w:rFonts w:eastAsia="Times New Roman" w:cs="Arial"/>
                <w:sz w:val="12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sz w:val="12"/>
                <w:szCs w:val="16"/>
                <w:lang w:val="it-CH" w:eastAsia="de-DE"/>
              </w:rPr>
              <w:t>vedi punto</w:t>
            </w:r>
            <w:r w:rsidR="003A33F3" w:rsidRPr="00885BCE">
              <w:rPr>
                <w:rFonts w:eastAsia="Times New Roman" w:cs="Arial"/>
                <w:sz w:val="12"/>
                <w:szCs w:val="16"/>
                <w:lang w:val="it-CH" w:eastAsia="de-DE"/>
              </w:rPr>
              <w:t xml:space="preserve"> 3)</w:t>
            </w:r>
            <w:r w:rsidR="00335DB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:</w:t>
            </w:r>
            <w:r w:rsidR="00335DB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Chi rilascia i</w:t>
            </w:r>
            <w:r w:rsidR="00271BE9">
              <w:rPr>
                <w:rFonts w:eastAsia="Times New Roman" w:cs="Arial"/>
                <w:sz w:val="16"/>
                <w:szCs w:val="16"/>
                <w:lang w:val="it-CH" w:eastAsia="de-DE"/>
              </w:rPr>
              <w:t>l formulario PTW e chi esegue i lavori</w:t>
            </w: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non può essere la stessa persona</w:t>
            </w:r>
          </w:p>
          <w:p w14:paraId="0DF8CF97" w14:textId="1E6A8120" w:rsidR="00335DBD" w:rsidRPr="00885BCE" w:rsidRDefault="000E3A62" w:rsidP="007839C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595CCD">
              <w:rPr>
                <w:rFonts w:eastAsia="Times New Roman" w:cs="Arial"/>
                <w:b/>
                <w:sz w:val="16"/>
                <w:szCs w:val="16"/>
                <w:lang w:val="it-CH" w:eastAsia="de-DE"/>
              </w:rPr>
              <w:t>Validità del permesso PTW</w:t>
            </w:r>
            <w:r w:rsidR="00335DBD" w:rsidRPr="00595CCD">
              <w:rPr>
                <w:rFonts w:eastAsia="Times New Roman" w:cs="Arial"/>
                <w:b/>
                <w:sz w:val="16"/>
                <w:szCs w:val="16"/>
                <w:lang w:val="it-CH" w:eastAsia="de-DE"/>
              </w:rPr>
              <w:t>: m</w:t>
            </w:r>
            <w:r w:rsidR="007839C7" w:rsidRPr="00595CCD">
              <w:rPr>
                <w:rFonts w:eastAsia="Times New Roman" w:cs="Arial"/>
                <w:b/>
                <w:sz w:val="16"/>
                <w:szCs w:val="16"/>
                <w:lang w:val="it-CH" w:eastAsia="de-DE"/>
              </w:rPr>
              <w:t xml:space="preserve">ass. 7 giorni </w:t>
            </w:r>
            <w:r w:rsidR="002328E7" w:rsidRPr="00595CCD">
              <w:rPr>
                <w:rFonts w:eastAsia="Times New Roman" w:cs="Arial"/>
                <w:b/>
                <w:sz w:val="16"/>
                <w:szCs w:val="16"/>
                <w:lang w:val="it-CH" w:eastAsia="de-DE"/>
              </w:rPr>
              <w:t>consecutivi</w:t>
            </w:r>
            <w:r w:rsidR="00F32A73" w:rsidRPr="00595CCD">
              <w:rPr>
                <w:rFonts w:eastAsia="Times New Roman" w:cs="Arial"/>
                <w:b/>
                <w:sz w:val="16"/>
                <w:szCs w:val="16"/>
                <w:lang w:val="it-CH" w:eastAsia="de-DE"/>
              </w:rPr>
              <w:t>,</w:t>
            </w:r>
            <w:r w:rsidR="00F32A73" w:rsidRPr="00595CCD">
              <w:rPr>
                <w:rFonts w:eastAsia="Times New Roman" w:cs="Arial"/>
                <w:b/>
                <w:sz w:val="16"/>
                <w:szCs w:val="16"/>
                <w:lang w:val="it-CH" w:eastAsia="de-DE"/>
              </w:rPr>
              <w:br/>
            </w:r>
            <w:r w:rsidR="007839C7" w:rsidRPr="00595CCD">
              <w:rPr>
                <w:rFonts w:eastAsia="Times New Roman" w:cs="Arial"/>
                <w:sz w:val="16"/>
                <w:szCs w:val="16"/>
                <w:lang w:val="it-CH" w:eastAsia="de-DE"/>
              </w:rPr>
              <w:t>esaminare l’attualità</w:t>
            </w:r>
            <w:r w:rsidR="002328E7" w:rsidRPr="00595CCD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</w:t>
            </w:r>
            <w:r w:rsidR="007839C7" w:rsidRPr="00595CCD">
              <w:rPr>
                <w:rFonts w:eastAsia="Times New Roman" w:cs="Arial"/>
                <w:sz w:val="16"/>
                <w:szCs w:val="16"/>
                <w:lang w:val="it-CH" w:eastAsia="de-DE"/>
              </w:rPr>
              <w:t>minimo 1x al giorno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79B2" w14:textId="77777777" w:rsidR="00335DBD" w:rsidRPr="00885BCE" w:rsidRDefault="002328E7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Formulario </w:t>
            </w:r>
            <w:r w:rsidR="00335DBD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PTW </w:t>
            </w: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non necessario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97116" w14:textId="77777777" w:rsidR="00335DBD" w:rsidRPr="00885BCE" w:rsidRDefault="002328E7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Formulario PTW non necessario</w:t>
            </w:r>
          </w:p>
        </w:tc>
      </w:tr>
      <w:tr w:rsidR="00335DBD" w:rsidRPr="00FB032C" w14:paraId="5DC0CF56" w14:textId="77777777" w:rsidTr="00F32A73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8435C" w14:textId="22F7782E" w:rsidR="00335DBD" w:rsidRPr="00885BCE" w:rsidRDefault="00335DBD" w:rsidP="006231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JHA</w:t>
            </w: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br/>
            </w:r>
            <w:r w:rsidR="001B3930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V</w:t>
            </w:r>
            <w:r w:rsidR="00EB2681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alutazione dei</w:t>
            </w:r>
            <w:r w:rsidR="00EB2681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br/>
              <w:t xml:space="preserve"> rischi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CE0EF" w14:textId="5B32E30E" w:rsidR="00335DBD" w:rsidRPr="00885BCE" w:rsidRDefault="00335DBD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JHA </w:t>
            </w:r>
            <w:r w:rsidR="00FE2FC1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obbligatorio</w:t>
            </w:r>
            <w:r w:rsidR="00FE2FC1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 </w:t>
            </w:r>
          </w:p>
          <w:p w14:paraId="6D8E19B9" w14:textId="77777777" w:rsidR="00335DBD" w:rsidRPr="00885BCE" w:rsidRDefault="00335DBD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JHA</w:t>
            </w:r>
            <w:r w:rsidR="00260891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sono da elaborare in cantiere o da adattare alla situazione in cantiere</w:t>
            </w:r>
          </w:p>
          <w:p w14:paraId="7F7DBEE5" w14:textId="3DFAFF74" w:rsidR="00335DBD" w:rsidRPr="00885BCE" w:rsidRDefault="00EB2681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Applicare il principio </w:t>
            </w:r>
            <w:r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del doppio </w:t>
            </w:r>
            <w:r w:rsidR="00602FD9">
              <w:rPr>
                <w:rFonts w:eastAsia="Times New Roman" w:cs="Arial"/>
                <w:sz w:val="16"/>
                <w:szCs w:val="16"/>
                <w:lang w:val="it-CH" w:eastAsia="de-DE"/>
              </w:rPr>
              <w:t>controllo</w:t>
            </w:r>
            <w:r w:rsidR="00602FD9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,</w:t>
            </w:r>
            <w:r w:rsidR="00260891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="00260891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punto</w:t>
            </w:r>
            <w:r w:rsidR="00335DBD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</w:t>
            </w:r>
            <w:r w:rsidR="003A33F3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4</w:t>
            </w:r>
            <w:r w:rsidR="00335DBD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)</w:t>
            </w:r>
          </w:p>
          <w:p w14:paraId="16115E97" w14:textId="5208822A" w:rsidR="00335DBD" w:rsidRPr="00885BCE" w:rsidRDefault="00260891" w:rsidP="00BB372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Validità</w:t>
            </w:r>
            <w:r w:rsidR="00335DBD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: </w:t>
            </w:r>
            <w:r w:rsidR="00BB372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per la 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durata dell’attività in questione </w:t>
            </w:r>
            <w:r w:rsidR="0060661C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alla</w:t>
            </w:r>
            <w:r w:rsidR="00EB2681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stazione di servizio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68306" w14:textId="41A54F3E" w:rsidR="00260891" w:rsidRPr="00885BCE" w:rsidRDefault="00260891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JHA </w:t>
            </w:r>
            <w:r w:rsidR="00FE2FC1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obbligatorio</w:t>
            </w:r>
          </w:p>
          <w:p w14:paraId="7EBD518C" w14:textId="06D7D0D3" w:rsidR="00260891" w:rsidRPr="00885BCE" w:rsidRDefault="00260891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JHA </w:t>
            </w:r>
            <w:r w:rsidR="00BB372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e da compilare o da adattare alla situazione sul posto</w:t>
            </w:r>
          </w:p>
          <w:p w14:paraId="3FEE55EE" w14:textId="4E659385" w:rsidR="00260891" w:rsidRPr="00885BCE" w:rsidRDefault="00BB372D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Applicare il principio </w:t>
            </w:r>
            <w:r>
              <w:rPr>
                <w:rFonts w:eastAsia="Times New Roman" w:cs="Arial"/>
                <w:sz w:val="16"/>
                <w:szCs w:val="16"/>
                <w:lang w:val="it-CH" w:eastAsia="de-DE"/>
              </w:rPr>
              <w:t>del doppio controllo</w:t>
            </w:r>
            <w:r w:rsidR="00260891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, </w:t>
            </w:r>
            <w:r w:rsidR="00260891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punto 4)</w:t>
            </w:r>
          </w:p>
          <w:p w14:paraId="35635EDB" w14:textId="5A3BD8A1" w:rsidR="00335DBD" w:rsidRPr="00885BCE" w:rsidRDefault="00260891" w:rsidP="00BB372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Validità: </w:t>
            </w:r>
            <w:r w:rsidR="00BB372D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="00BB372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per la </w:t>
            </w:r>
            <w:r w:rsidR="00BB372D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durata dell’attività in questione </w:t>
            </w:r>
            <w:r w:rsidR="0060661C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alla</w:t>
            </w:r>
            <w:r w:rsidR="00BB372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stazione di servizio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D7C4" w14:textId="6FC8FD4A" w:rsidR="00260891" w:rsidRPr="00885BCE" w:rsidRDefault="00EB2681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JHA </w:t>
            </w:r>
            <w:r w:rsidR="00260891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obbligatorio</w:t>
            </w:r>
          </w:p>
          <w:p w14:paraId="094AB7AC" w14:textId="77777777" w:rsidR="0060661C" w:rsidRPr="00885BCE" w:rsidRDefault="0060661C" w:rsidP="006066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JHA </w:t>
            </w: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e da compilare o da adattare alla situazione sul posto</w:t>
            </w:r>
          </w:p>
          <w:p w14:paraId="0253A3D5" w14:textId="78A285BA" w:rsidR="00335DBD" w:rsidRPr="00885BCE" w:rsidRDefault="0060661C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Validità:  </w:t>
            </w: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per la 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durata dell’attività in questione </w:t>
            </w: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alla stazione di servizio</w:t>
            </w:r>
          </w:p>
        </w:tc>
      </w:tr>
      <w:tr w:rsidR="00335DBD" w:rsidRPr="00885BCE" w14:paraId="25C235F2" w14:textId="77777777" w:rsidTr="00F32A73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EEF7C" w14:textId="44841024" w:rsidR="00335DBD" w:rsidRPr="00885BCE" w:rsidRDefault="001B3930" w:rsidP="00E741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WCF</w:t>
            </w: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br/>
            </w:r>
            <w:r w:rsidR="00E741C3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A</w:t>
            </w: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bilitazione al lavoro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63F57" w14:textId="77777777" w:rsidR="00335DBD" w:rsidRPr="00885BCE" w:rsidRDefault="00335DBD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WCF </w:t>
            </w:r>
            <w:r w:rsidR="00DA4830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obbligatorio</w:t>
            </w:r>
            <w:r w:rsidR="00F81644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, </w:t>
            </w:r>
            <w:r w:rsidR="00260891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punto</w:t>
            </w:r>
            <w:r w:rsidR="00F81644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</w:t>
            </w:r>
            <w:r w:rsidR="003A33F3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5</w:t>
            </w:r>
            <w:r w:rsidR="00F81644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)</w:t>
            </w:r>
          </w:p>
          <w:p w14:paraId="3E08B789" w14:textId="77777777" w:rsidR="00335DBD" w:rsidRPr="00595CCD" w:rsidRDefault="00260891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/>
                <w:sz w:val="16"/>
                <w:szCs w:val="16"/>
                <w:lang w:val="it-CH" w:eastAsia="de-DE"/>
              </w:rPr>
            </w:pPr>
            <w:r w:rsidRPr="00595CCD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Validità</w:t>
            </w:r>
            <w:r w:rsidR="00335DBD" w:rsidRPr="00595CCD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: 1 </w:t>
            </w:r>
            <w:r w:rsidRPr="00595CCD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giorno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5CED2" w14:textId="77777777" w:rsidR="00260891" w:rsidRPr="00885BCE" w:rsidRDefault="00260891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WCF </w:t>
            </w:r>
            <w:r w:rsidR="00DA4830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obbligatorio</w:t>
            </w: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,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punto 5)</w:t>
            </w:r>
          </w:p>
          <w:p w14:paraId="158C3625" w14:textId="77777777" w:rsidR="00335DBD" w:rsidRPr="00885BCE" w:rsidRDefault="00260891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Validità: 1 giorno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5D3A0" w14:textId="77777777" w:rsidR="00260891" w:rsidRPr="00885BCE" w:rsidRDefault="00260891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WCF </w:t>
            </w:r>
            <w:r w:rsidR="00DA4830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obbligatorio</w:t>
            </w: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,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punto 5)</w:t>
            </w:r>
          </w:p>
          <w:p w14:paraId="5D948514" w14:textId="77777777" w:rsidR="00335DBD" w:rsidRPr="00885BCE" w:rsidRDefault="00260891" w:rsidP="0026089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Validità: 1 giorno</w:t>
            </w:r>
          </w:p>
        </w:tc>
      </w:tr>
      <w:tr w:rsidR="00335DBD" w:rsidRPr="00FB032C" w14:paraId="4537A62A" w14:textId="77777777" w:rsidTr="007B57E3">
        <w:trPr>
          <w:trHeight w:val="7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C4B0C" w14:textId="77777777" w:rsidR="00335DBD" w:rsidRPr="00885BCE" w:rsidRDefault="00260891" w:rsidP="00335D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Osservazioni</w:t>
            </w:r>
            <w:r w:rsidR="00335DBD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importanti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F7E5CC" w14:textId="2C2CCEF2" w:rsidR="00335DBD" w:rsidRPr="00885BCE" w:rsidRDefault="005476DD" w:rsidP="005476D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it-CH" w:eastAsia="de-DE"/>
              </w:rPr>
              <w:t>In</w:t>
            </w:r>
            <w:r w:rsidR="00AD1B49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caso di contraddizioni tra </w:t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le disposizioni</w:t>
            </w:r>
            <w:r w:rsidR="00AD1B49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di legge</w:t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e amministrative concernenti</w:t>
            </w:r>
            <w:r w:rsidR="00AD1B49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la valutazione dei rischi e la documentazione, bisogna </w:t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soddisfare</w:t>
            </w:r>
            <w:r w:rsidR="00AD1B49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le</w:t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disposizioni di legge e amministrative</w:t>
            </w:r>
            <w:r>
              <w:rPr>
                <w:rFonts w:eastAsia="Times New Roman" w:cs="Arial"/>
                <w:sz w:val="16"/>
                <w:szCs w:val="16"/>
                <w:lang w:val="it-CH" w:eastAsia="de-DE"/>
              </w:rPr>
              <w:t>.</w:t>
            </w:r>
            <w:r w:rsidR="00335DB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br/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Se il presente documento dovesse avere dei requisiti più elevati rispetto alle disposizioni di legge e amministrative, bisogna soddisfare i requisiti del documento.</w:t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br/>
            </w:r>
            <w:r w:rsidR="00DA4830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Tutto ciò</w:t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fintanto che vengano rispettate le disposizioni di legge e amministrative</w:t>
            </w:r>
            <w:r w:rsidR="00335DB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.</w:t>
            </w:r>
          </w:p>
        </w:tc>
      </w:tr>
    </w:tbl>
    <w:tbl>
      <w:tblPr>
        <w:tblpPr w:leftFromText="142" w:rightFromText="142" w:vertAnchor="page" w:horzAnchor="page" w:tblpXSpec="center" w:tblpY="6805"/>
        <w:tblOverlap w:val="never"/>
        <w:tblW w:w="15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649"/>
        <w:gridCol w:w="9298"/>
      </w:tblGrid>
      <w:tr w:rsidR="009A51B1" w:rsidRPr="00FB032C" w14:paraId="78D4AD49" w14:textId="77777777" w:rsidTr="007B57E3">
        <w:trPr>
          <w:trHeight w:val="567"/>
        </w:trPr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2EE780C" w14:textId="77777777" w:rsidR="009A51B1" w:rsidRPr="00885BCE" w:rsidRDefault="009A51B1" w:rsidP="00135364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lang w:val="it-CH" w:eastAsia="de-DE"/>
              </w:rPr>
            </w:pPr>
          </w:p>
        </w:tc>
        <w:tc>
          <w:tcPr>
            <w:tcW w:w="1394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800F39" w14:textId="77777777" w:rsidR="009A51B1" w:rsidRPr="00885BCE" w:rsidRDefault="00332E57" w:rsidP="009A51B1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eastAsia="Times New Roman" w:cs="Arial"/>
                <w:b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sz w:val="24"/>
                <w:szCs w:val="16"/>
                <w:lang w:val="it-CH" w:eastAsia="de-DE"/>
              </w:rPr>
              <w:t xml:space="preserve">Regole specifiche per singola azienda </w:t>
            </w:r>
          </w:p>
        </w:tc>
      </w:tr>
      <w:tr w:rsidR="009A51B1" w:rsidRPr="00FB032C" w14:paraId="0ABD80DF" w14:textId="77777777" w:rsidTr="007B57E3">
        <w:trPr>
          <w:trHeight w:val="85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1208C77A" w14:textId="77777777" w:rsidR="009A51B1" w:rsidRPr="00885BCE" w:rsidRDefault="009A51B1" w:rsidP="00135364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953D5" w14:textId="77777777" w:rsidR="009A51B1" w:rsidRPr="00885BCE" w:rsidRDefault="009A51B1" w:rsidP="009F21C7">
            <w:pPr>
              <w:spacing w:after="0" w:line="240" w:lineRule="auto"/>
              <w:jc w:val="left"/>
              <w:rPr>
                <w:rFonts w:eastAsia="Times New Roman" w:cs="Arial"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noProof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702272" behindDoc="0" locked="0" layoutInCell="1" allowOverlap="1" wp14:anchorId="7F24027D" wp14:editId="23807D42">
                  <wp:simplePos x="0" y="0"/>
                  <wp:positionH relativeFrom="insideMargin">
                    <wp:posOffset>180340</wp:posOffset>
                  </wp:positionH>
                  <wp:positionV relativeFrom="insideMargin">
                    <wp:posOffset>0</wp:posOffset>
                  </wp:positionV>
                  <wp:extent cx="388800" cy="360000"/>
                  <wp:effectExtent l="0" t="0" r="0" b="2540"/>
                  <wp:wrapNone/>
                  <wp:docPr id="18" name="Grafik 18" descr="C:\Users\zelld0\Documents\_Aux\Gesellschafts-Logos\Sh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Gesellschafts-Logos\She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8" w:type="dxa"/>
            <w:tcBorders>
              <w:top w:val="nil"/>
              <w:bottom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2D71FB48" w14:textId="089D77FD" w:rsidR="009A51B1" w:rsidRPr="00885BCE" w:rsidRDefault="003A33F3" w:rsidP="00635289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3</w:t>
            </w:r>
            <w:r w:rsidR="009A51B1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)</w:t>
            </w:r>
            <w:r w:rsidR="009A51B1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ab/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Il </w:t>
            </w:r>
            <w:proofErr w:type="spellStart"/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Permit</w:t>
            </w:r>
            <w:proofErr w:type="spellEnd"/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</w:t>
            </w:r>
            <w:proofErr w:type="spellStart"/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Issuer</w:t>
            </w:r>
            <w:proofErr w:type="spellEnd"/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(PI) non fa mai parte della squadra di lavoro, ma è una persona appositamente</w:t>
            </w:r>
            <w:r w:rsidR="007749AD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formata e qualificata</w:t>
            </w:r>
            <w:r w:rsidR="00332E57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.</w:t>
            </w: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br/>
            </w:r>
            <w:r w:rsidR="00E741C3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Una chiara modifica delle condizioni generali </w:t>
            </w:r>
            <w:r w:rsidR="00DA4830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implica l’interruzione dei lavori</w:t>
            </w:r>
            <w:r w:rsidR="00E741C3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br/>
            </w:r>
            <w:r w:rsidR="00DA4830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e una nuova valutazione della situazione </w:t>
            </w:r>
            <w:r w:rsidR="00E741C3">
              <w:rPr>
                <w:rFonts w:eastAsia="Times New Roman" w:cs="Arial"/>
                <w:sz w:val="16"/>
                <w:szCs w:val="16"/>
                <w:lang w:val="it-CH" w:eastAsia="de-DE"/>
              </w:rPr>
              <w:t>sul posto</w:t>
            </w:r>
            <w:r w:rsidR="00DA4830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. </w:t>
            </w:r>
            <w:r w:rsidR="005849C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Bisogna elaborare un MOC (Management of </w:t>
            </w:r>
            <w:proofErr w:type="spellStart"/>
            <w:r w:rsidR="005849C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Change</w:t>
            </w:r>
            <w:proofErr w:type="spellEnd"/>
            <w:r w:rsidR="005849CD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).</w:t>
            </w:r>
          </w:p>
          <w:p w14:paraId="08C1B806" w14:textId="77777777" w:rsidR="009A51B1" w:rsidRPr="00885BCE" w:rsidRDefault="003A33F3" w:rsidP="00635289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color w:val="FF000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6</w:t>
            </w:r>
            <w:r w:rsidR="009A51B1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)</w:t>
            </w:r>
            <w:r w:rsidR="009A51B1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ab/>
            </w:r>
            <w:r w:rsidR="00DA4830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Entrare nei serbatoi è proibito!</w:t>
            </w:r>
          </w:p>
        </w:tc>
      </w:tr>
      <w:tr w:rsidR="00FB032C" w:rsidRPr="0008669C" w14:paraId="284378C3" w14:textId="77777777" w:rsidTr="00E66D5A">
        <w:trPr>
          <w:trHeight w:val="85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059174" w14:textId="77777777" w:rsidR="00FB032C" w:rsidRPr="00885BCE" w:rsidRDefault="00FB032C" w:rsidP="00FB032C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9C996" w14:textId="5F986970" w:rsidR="00FB032C" w:rsidRPr="00885BCE" w:rsidRDefault="00FB032C" w:rsidP="00FB032C">
            <w:pPr>
              <w:spacing w:after="0" w:line="240" w:lineRule="auto"/>
              <w:jc w:val="left"/>
              <w:rPr>
                <w:rFonts w:eastAsia="Times New Roman" w:cs="Arial"/>
                <w:bCs/>
                <w:lang w:val="it-CH" w:eastAsia="de-DE"/>
              </w:rPr>
            </w:pPr>
            <w:r w:rsidRPr="003F0523">
              <w:rPr>
                <w:rFonts w:eastAsia="Times New Roman" w:cs="Arial"/>
                <w:noProof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7511D0F7" wp14:editId="478A876B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107950</wp:posOffset>
                  </wp:positionV>
                  <wp:extent cx="360000" cy="360000"/>
                  <wp:effectExtent l="0" t="0" r="2540" b="2540"/>
                  <wp:wrapNone/>
                  <wp:docPr id="17" name="Grafik 17" descr="C:\Users\zelld0\Documents\_Aux\Gesellschafts-Logos\A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Gesellschafts-Logos\A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523">
              <w:rPr>
                <w:rFonts w:eastAsia="Times New Roman" w:cs="Arial"/>
                <w:noProof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2879FF18" wp14:editId="6B3C12C8">
                  <wp:simplePos x="0" y="0"/>
                  <wp:positionH relativeFrom="insideMargin">
                    <wp:posOffset>144145</wp:posOffset>
                  </wp:positionH>
                  <wp:positionV relativeFrom="insideMargin">
                    <wp:posOffset>0</wp:posOffset>
                  </wp:positionV>
                  <wp:extent cx="406560" cy="504000"/>
                  <wp:effectExtent l="0" t="0" r="0" b="0"/>
                  <wp:wrapNone/>
                  <wp:docPr id="16" name="Grafik 16" descr="C:\Users\zelld0\Documents\_Aux\Gesellschafts-Logos\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Gesellschafts-Logos\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6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vAlign w:val="center"/>
          </w:tcPr>
          <w:p w14:paraId="7AA98567" w14:textId="7CFD6541" w:rsidR="00FB032C" w:rsidRPr="00FB032C" w:rsidRDefault="00FB032C" w:rsidP="00FB032C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it-IT" w:eastAsia="de-DE"/>
              </w:rPr>
            </w:pP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>2)</w:t>
            </w: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ab/>
              <w:t xml:space="preserve">La PTW 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dev’</w:t>
            </w: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essere 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compilata</w:t>
            </w: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al inizio di ogni 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attività</w:t>
            </w:r>
            <w:r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. </w:t>
            </w: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Il </w:t>
            </w:r>
            <w:proofErr w:type="spellStart"/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>Permit</w:t>
            </w:r>
            <w:proofErr w:type="spellEnd"/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>Issuer</w:t>
            </w:r>
            <w:proofErr w:type="spellEnd"/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(PI) può fare parte del team di lavoro.</w:t>
            </w:r>
          </w:p>
          <w:p w14:paraId="546FBF45" w14:textId="5B7A2AA5" w:rsidR="00FB032C" w:rsidRPr="00FB032C" w:rsidRDefault="00FB032C" w:rsidP="00FB032C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it-IT" w:eastAsia="de-DE"/>
              </w:rPr>
            </w:pP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>4)</w:t>
            </w: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ab/>
              <w:t xml:space="preserve">Una JHA </w:t>
            </w:r>
            <w:r w:rsidR="001B04A0"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>può</w:t>
            </w: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essere compilata sul posto di lavoro, purché sia stato fatto un</w:t>
            </w:r>
            <w:r>
              <w:rPr>
                <w:rFonts w:eastAsia="Times New Roman" w:cs="Arial"/>
                <w:sz w:val="16"/>
                <w:szCs w:val="16"/>
                <w:lang w:val="it-IT" w:eastAsia="de-DE"/>
              </w:rPr>
              <w:t>a valutazione generale dei rischi dei lavori da eseguire.</w:t>
            </w:r>
          </w:p>
          <w:p w14:paraId="5E09A7D6" w14:textId="1B782B2E" w:rsidR="00FB032C" w:rsidRPr="0020567E" w:rsidRDefault="00FB032C" w:rsidP="00FB032C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it-IT" w:eastAsia="de-DE"/>
              </w:rPr>
            </w:pP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>5)</w:t>
            </w: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ab/>
              <w:t xml:space="preserve">Necessario per lavori di manutenzione e azione. </w:t>
            </w:r>
            <w:r w:rsidRPr="0020567E">
              <w:rPr>
                <w:rFonts w:eastAsia="Times New Roman" w:cs="Arial"/>
                <w:sz w:val="16"/>
                <w:szCs w:val="16"/>
                <w:lang w:val="it-IT" w:eastAsia="de-DE"/>
              </w:rPr>
              <w:t>Non necessario per progetti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.</w:t>
            </w:r>
            <w:r w:rsidRPr="0020567E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</w:t>
            </w:r>
            <w:r w:rsidR="0020567E">
              <w:rPr>
                <w:rFonts w:eastAsia="Times New Roman" w:cs="Arial"/>
                <w:sz w:val="16"/>
                <w:szCs w:val="16"/>
                <w:lang w:val="it-IT" w:eastAsia="de-DE"/>
              </w:rPr>
              <w:t>(classificatore progetto</w:t>
            </w:r>
            <w:r w:rsidRPr="0020567E">
              <w:rPr>
                <w:rFonts w:eastAsia="Times New Roman" w:cs="Arial"/>
                <w:sz w:val="16"/>
                <w:szCs w:val="16"/>
                <w:lang w:val="it-IT" w:eastAsia="de-DE"/>
              </w:rPr>
              <w:t>).</w:t>
            </w:r>
          </w:p>
          <w:p w14:paraId="37A74D0B" w14:textId="71BCCFC1" w:rsidR="00FB032C" w:rsidRPr="00FB032C" w:rsidRDefault="00FB032C" w:rsidP="00FB032C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color w:val="FF0000"/>
                <w:sz w:val="16"/>
                <w:szCs w:val="16"/>
                <w:lang w:val="it-IT" w:eastAsia="de-DE"/>
              </w:rPr>
            </w:pPr>
            <w:r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6)   </w:t>
            </w: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Entrare nei serbatoi è proibito!</w:t>
            </w:r>
          </w:p>
        </w:tc>
      </w:tr>
      <w:tr w:rsidR="00FB032C" w:rsidRPr="001B04A0" w14:paraId="3427380A" w14:textId="77777777" w:rsidTr="007B57E3">
        <w:trPr>
          <w:trHeight w:val="85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3F7C9B8B" w14:textId="77777777" w:rsidR="00FB032C" w:rsidRPr="00FB032C" w:rsidRDefault="00FB032C" w:rsidP="00FB032C">
            <w:pPr>
              <w:spacing w:after="0" w:line="240" w:lineRule="auto"/>
              <w:jc w:val="left"/>
              <w:rPr>
                <w:rFonts w:eastAsia="Times New Roman" w:cs="Arial"/>
                <w:noProof/>
                <w:sz w:val="16"/>
                <w:lang w:val="it-IT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80102" w14:textId="34CDFCF3" w:rsidR="00FB032C" w:rsidRPr="00FB032C" w:rsidRDefault="00FB032C" w:rsidP="00FB032C">
            <w:pPr>
              <w:spacing w:after="0" w:line="240" w:lineRule="auto"/>
              <w:jc w:val="left"/>
              <w:rPr>
                <w:rFonts w:eastAsia="Times New Roman" w:cs="Arial"/>
                <w:noProof/>
                <w:szCs w:val="16"/>
                <w:lang w:val="it-IT" w:eastAsia="de-DE"/>
              </w:rPr>
            </w:pPr>
            <w:r w:rsidRPr="003F0523">
              <w:rPr>
                <w:rFonts w:eastAsia="Times New Roman" w:cs="Arial"/>
                <w:noProof/>
                <w:szCs w:val="16"/>
                <w:lang w:val="de-DE" w:eastAsia="de-DE"/>
              </w:rPr>
              <w:drawing>
                <wp:anchor distT="0" distB="0" distL="114300" distR="114300" simplePos="0" relativeHeight="251706368" behindDoc="0" locked="0" layoutInCell="1" allowOverlap="1" wp14:anchorId="5D6DB511" wp14:editId="54C82F42">
                  <wp:simplePos x="0" y="0"/>
                  <wp:positionH relativeFrom="insideMargin">
                    <wp:posOffset>215900</wp:posOffset>
                  </wp:positionH>
                  <wp:positionV relativeFrom="insideMargin">
                    <wp:posOffset>0</wp:posOffset>
                  </wp:positionV>
                  <wp:extent cx="997200" cy="324000"/>
                  <wp:effectExtent l="0" t="0" r="0" b="0"/>
                  <wp:wrapNone/>
                  <wp:docPr id="15" name="Grafik 15" descr="C:\Users\zelld0\Documents\_Aux\Gesellschafts-Logos\To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lld0\Documents\_Aux\Gesellschafts-Logos\To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vAlign w:val="center"/>
          </w:tcPr>
          <w:p w14:paraId="1EC9C7E7" w14:textId="2295AC9C" w:rsidR="00FB032C" w:rsidRPr="001B04A0" w:rsidRDefault="00FB032C" w:rsidP="00FB032C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it-IT" w:eastAsia="de-DE"/>
              </w:rPr>
            </w:pPr>
            <w:r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>2)</w:t>
            </w:r>
            <w:r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ab/>
            </w:r>
            <w:r w:rsidR="001B04A0"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La PTW 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dev’</w:t>
            </w:r>
            <w:r w:rsidR="001B04A0"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essere 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compilata</w:t>
            </w:r>
            <w:r w:rsidR="001B04A0" w:rsidRPr="00FB032C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al inizio di ogni 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attività.</w:t>
            </w:r>
          </w:p>
          <w:p w14:paraId="72FB7793" w14:textId="55ABAC7B" w:rsidR="00FB032C" w:rsidRPr="001B04A0" w:rsidRDefault="00FB032C" w:rsidP="001B04A0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color w:val="FF0000"/>
                <w:sz w:val="16"/>
                <w:szCs w:val="16"/>
                <w:lang w:val="it-IT" w:eastAsia="de-DE"/>
              </w:rPr>
            </w:pPr>
            <w:r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>4)</w:t>
            </w:r>
            <w:r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ab/>
            </w:r>
            <w:r w:rsidR="001B04A0"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>Non e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necessario</w:t>
            </w:r>
            <w:r w:rsidR="001B04A0"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applicare il pr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incipio del doppio controllo nella JHA per lavori con rischio medio o basso.</w:t>
            </w:r>
          </w:p>
        </w:tc>
      </w:tr>
      <w:tr w:rsidR="00FB032C" w:rsidRPr="001B04A0" w14:paraId="09100D9F" w14:textId="77777777" w:rsidTr="00E66D5A">
        <w:trPr>
          <w:trHeight w:val="850"/>
        </w:trPr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9DB85D" w14:textId="77777777" w:rsidR="00FB032C" w:rsidRPr="001B04A0" w:rsidRDefault="00FB032C" w:rsidP="00FB032C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lang w:val="it-IT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6B4BB" w14:textId="1FA794FC" w:rsidR="00FB032C" w:rsidRPr="001B04A0" w:rsidRDefault="00FB032C" w:rsidP="00FB032C">
            <w:pPr>
              <w:spacing w:after="0" w:line="240" w:lineRule="auto"/>
              <w:jc w:val="left"/>
              <w:rPr>
                <w:rFonts w:eastAsia="Times New Roman" w:cs="Arial"/>
                <w:bCs/>
                <w:lang w:val="it-IT" w:eastAsia="de-DE"/>
              </w:rPr>
            </w:pPr>
            <w:r w:rsidRPr="003F0523"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7B0B4F8D" wp14:editId="7BF7C36A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31750</wp:posOffset>
                  </wp:positionV>
                  <wp:extent cx="546100" cy="332740"/>
                  <wp:effectExtent l="0" t="0" r="635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523">
              <w:rPr>
                <w:rFonts w:eastAsia="Times New Roman" w:cs="Arial"/>
                <w:bCs/>
                <w:noProof/>
                <w:sz w:val="16"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 wp14:anchorId="6B10A8A0" wp14:editId="7921EA59">
                  <wp:simplePos x="0" y="0"/>
                  <wp:positionH relativeFrom="insideMargin">
                    <wp:posOffset>234315</wp:posOffset>
                  </wp:positionH>
                  <wp:positionV relativeFrom="insideMargin">
                    <wp:posOffset>0</wp:posOffset>
                  </wp:positionV>
                  <wp:extent cx="291600" cy="360000"/>
                  <wp:effectExtent l="0" t="0" r="0" b="2540"/>
                  <wp:wrapNone/>
                  <wp:docPr id="20" name="Grafik 20" descr="C:\Users\zelld0\Documents\_Aux\Gesellschafts-Logos\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lld0\Documents\_Aux\Gesellschafts-Logos\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523">
              <w:rPr>
                <w:rFonts w:eastAsia="Times New Roman" w:cs="Arial"/>
                <w:bCs/>
                <w:noProof/>
                <w:sz w:val="16"/>
                <w:lang w:val="de-DE" w:eastAsia="de-DE"/>
              </w:rPr>
              <w:drawing>
                <wp:anchor distT="0" distB="0" distL="114300" distR="114300" simplePos="0" relativeHeight="251709440" behindDoc="0" locked="0" layoutInCell="1" allowOverlap="1" wp14:anchorId="25284BA6" wp14:editId="15EAE7C3">
                  <wp:simplePos x="0" y="0"/>
                  <wp:positionH relativeFrom="insideMargin">
                    <wp:posOffset>285750</wp:posOffset>
                  </wp:positionH>
                  <wp:positionV relativeFrom="insideMargin">
                    <wp:posOffset>6363970</wp:posOffset>
                  </wp:positionV>
                  <wp:extent cx="291465" cy="359410"/>
                  <wp:effectExtent l="0" t="0" r="0" b="2540"/>
                  <wp:wrapNone/>
                  <wp:docPr id="19" name="Grafik 19" descr="C:\Users\zelld0\Documents\_Aux\Gesellschafts-Logos\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lld0\Documents\_Aux\Gesellschafts-Logos\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523">
              <w:rPr>
                <w:rFonts w:eastAsia="Times New Roman" w:cs="Arial"/>
                <w:bCs/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6FC9F01D" wp14:editId="310D854B">
                  <wp:simplePos x="0" y="0"/>
                  <wp:positionH relativeFrom="insideMargin">
                    <wp:posOffset>1440180</wp:posOffset>
                  </wp:positionH>
                  <wp:positionV relativeFrom="insideMargin">
                    <wp:posOffset>36195</wp:posOffset>
                  </wp:positionV>
                  <wp:extent cx="450000" cy="324000"/>
                  <wp:effectExtent l="0" t="0" r="7620" b="0"/>
                  <wp:wrapNone/>
                  <wp:docPr id="12" name="Grafik 12" descr="C:\Users\zelld0\Documents\_Aux\Gesellschafts-Logos\OM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lld0\Documents\_Aux\Gesellschafts-Logos\OM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523">
              <w:rPr>
                <w:rFonts w:eastAsia="Times New Roman" w:cs="Arial"/>
                <w:bCs/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 wp14:anchorId="6EBF525A" wp14:editId="3CC74B2B">
                  <wp:simplePos x="0" y="0"/>
                  <wp:positionH relativeFrom="insideMargin">
                    <wp:posOffset>2052320</wp:posOffset>
                  </wp:positionH>
                  <wp:positionV relativeFrom="insideMargin">
                    <wp:posOffset>0</wp:posOffset>
                  </wp:positionV>
                  <wp:extent cx="417600" cy="360000"/>
                  <wp:effectExtent l="0" t="0" r="1905" b="2540"/>
                  <wp:wrapNone/>
                  <wp:docPr id="9" name="Grafik 9" descr="C:\Users\zelld0\Documents\_Aux\Gesellschafts-Logos\Or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lld0\Documents\_Aux\Gesellschafts-Logos\Or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8" w:type="dxa"/>
            <w:tcBorders>
              <w:top w:val="single" w:sz="4" w:space="0" w:color="A6A6A6" w:themeColor="background1" w:themeShade="A6"/>
            </w:tcBorders>
            <w:shd w:val="clear" w:color="000000" w:fill="FFFFFF"/>
            <w:vAlign w:val="center"/>
          </w:tcPr>
          <w:p w14:paraId="3C4047D2" w14:textId="146DE129" w:rsidR="00FB032C" w:rsidRPr="001B04A0" w:rsidRDefault="00FB032C" w:rsidP="001B04A0">
            <w:pPr>
              <w:tabs>
                <w:tab w:val="left" w:pos="284"/>
              </w:tabs>
              <w:spacing w:after="0" w:line="240" w:lineRule="auto"/>
              <w:ind w:left="284" w:hanging="284"/>
              <w:jc w:val="left"/>
              <w:rPr>
                <w:rFonts w:eastAsia="Times New Roman" w:cs="Arial"/>
                <w:color w:val="FF0000"/>
                <w:sz w:val="16"/>
                <w:szCs w:val="16"/>
                <w:lang w:val="it-IT" w:eastAsia="de-DE"/>
              </w:rPr>
            </w:pPr>
            <w:r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>1)</w:t>
            </w:r>
            <w:r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ab/>
            </w:r>
            <w:r w:rsidR="001B04A0"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>La</w:t>
            </w:r>
            <w:r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 xml:space="preserve"> PTW </w:t>
            </w:r>
            <w:r w:rsidR="001B04A0" w:rsidRPr="001B04A0">
              <w:rPr>
                <w:rFonts w:eastAsia="Times New Roman" w:cs="Arial"/>
                <w:sz w:val="16"/>
                <w:szCs w:val="16"/>
                <w:lang w:val="it-IT" w:eastAsia="de-DE"/>
              </w:rPr>
              <w:t>dev‘essere compilata per „lavori a caldo“, „lavoro con pericolo di innesco e di incendio</w:t>
            </w:r>
            <w:r w:rsidR="001B04A0">
              <w:rPr>
                <w:rFonts w:eastAsia="Times New Roman" w:cs="Arial"/>
                <w:sz w:val="16"/>
                <w:szCs w:val="16"/>
                <w:lang w:val="it-IT" w:eastAsia="de-DE"/>
              </w:rPr>
              <w:t>” o per “lavori in spazzi ristretti”.</w:t>
            </w:r>
          </w:p>
        </w:tc>
      </w:tr>
    </w:tbl>
    <w:p w14:paraId="47E7476E" w14:textId="77777777" w:rsidR="00322C55" w:rsidRPr="001B04A0" w:rsidRDefault="00322C55" w:rsidP="008F7748">
      <w:pPr>
        <w:spacing w:before="120" w:after="0" w:line="240" w:lineRule="auto"/>
        <w:jc w:val="center"/>
        <w:rPr>
          <w:sz w:val="16"/>
          <w:lang w:val="it-IT"/>
        </w:rPr>
      </w:pPr>
    </w:p>
    <w:p w14:paraId="0EAC296C" w14:textId="77777777" w:rsidR="00322C55" w:rsidRPr="001B04A0" w:rsidRDefault="00322C55">
      <w:pPr>
        <w:rPr>
          <w:sz w:val="16"/>
          <w:lang w:val="it-IT"/>
        </w:rPr>
      </w:pPr>
      <w:r w:rsidRPr="001B04A0">
        <w:rPr>
          <w:sz w:val="16"/>
          <w:lang w:val="it-IT"/>
        </w:rPr>
        <w:br w:type="page"/>
      </w:r>
    </w:p>
    <w:tbl>
      <w:tblPr>
        <w:tblpPr w:leftFromText="142" w:rightFromText="142" w:vertAnchor="page" w:tblpXSpec="center" w:tblpY="1645"/>
        <w:tblOverlap w:val="never"/>
        <w:tblW w:w="15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649"/>
        <w:gridCol w:w="4649"/>
        <w:gridCol w:w="4649"/>
      </w:tblGrid>
      <w:tr w:rsidR="006D0F25" w:rsidRPr="00885BCE" w14:paraId="39690EEC" w14:textId="77777777" w:rsidTr="00EA46D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BDBB45" w14:textId="77777777" w:rsidR="006D0F25" w:rsidRPr="001B04A0" w:rsidRDefault="006D0F25" w:rsidP="006D0F25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it-IT" w:eastAsia="de-DE"/>
              </w:rPr>
            </w:pP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C63841" w14:textId="77777777" w:rsidR="006D0F25" w:rsidRPr="00885BCE" w:rsidRDefault="00905742" w:rsidP="006D0F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24"/>
                <w:szCs w:val="24"/>
                <w:lang w:val="it-CH" w:eastAsia="de-DE"/>
              </w:rPr>
              <w:t xml:space="preserve">Definizione dei limiti </w:t>
            </w:r>
            <w:r w:rsidR="004A0DFE" w:rsidRPr="00885BCE">
              <w:rPr>
                <w:rFonts w:eastAsia="Times New Roman" w:cs="Arial"/>
                <w:b/>
                <w:bCs/>
                <w:sz w:val="24"/>
                <w:szCs w:val="24"/>
                <w:lang w:val="it-CH" w:eastAsia="de-DE"/>
              </w:rPr>
              <w:t>1/2</w:t>
            </w:r>
          </w:p>
        </w:tc>
      </w:tr>
      <w:tr w:rsidR="000C2AE6" w:rsidRPr="00885BCE" w14:paraId="16996F79" w14:textId="77777777" w:rsidTr="00EA46DB">
        <w:trPr>
          <w:trHeight w:val="28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6E5093" w14:textId="77777777" w:rsidR="000C2AE6" w:rsidRPr="00885BCE" w:rsidRDefault="000C2AE6" w:rsidP="000C2A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3915CCE7" w14:textId="77777777" w:rsidR="000C2AE6" w:rsidRPr="00885BCE" w:rsidRDefault="000C2AE6" w:rsidP="000C2A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>Attività a pericolo elevato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46287EC" w14:textId="77777777" w:rsidR="000C2AE6" w:rsidRPr="00885BCE" w:rsidRDefault="000C2AE6" w:rsidP="000C2A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>Attività a pericolo medio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051F95" w14:textId="77777777" w:rsidR="000C2AE6" w:rsidRPr="00885BCE" w:rsidRDefault="000C2AE6" w:rsidP="000C2A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>Attività a pericolo basso</w:t>
            </w:r>
          </w:p>
        </w:tc>
      </w:tr>
      <w:tr w:rsidR="00135364" w:rsidRPr="00D37081" w14:paraId="130B1470" w14:textId="77777777" w:rsidTr="00EA46DB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62E5B" w14:textId="77777777" w:rsidR="00322C55" w:rsidRPr="00885BCE" w:rsidRDefault="004A5FDB" w:rsidP="00322C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Lavori a caldo</w:t>
            </w:r>
            <w:r w:rsidR="00322C55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 /</w:t>
            </w:r>
            <w:r w:rsidR="00322C55"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Lavori con pericolo di innesco e di incendio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11C7" w14:textId="0E04B555" w:rsidR="00502509" w:rsidRPr="00885BCE" w:rsidRDefault="00BF411F" w:rsidP="0063528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Lavori a rischio di innesco </w:t>
            </w:r>
            <w:r w:rsidR="00322C55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(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possibile formazione di scintille/</w:t>
            </w:r>
            <w:r w:rsidR="00D37081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fiamme</w:t>
            </w:r>
            <w:r w:rsidR="00322C55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)</w:t>
            </w:r>
            <w:r w:rsidR="00322C55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all’interno di zone di pericolo </w:t>
            </w:r>
            <w:r w:rsidR="00322C55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(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definizione allegata</w:t>
            </w:r>
            <w:r w:rsidR="00322C55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)</w:t>
            </w:r>
          </w:p>
          <w:p w14:paraId="21DFEC64" w14:textId="77777777" w:rsidR="00635289" w:rsidRPr="00885BCE" w:rsidRDefault="00BF411F" w:rsidP="00635289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61281F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:</w:t>
            </w:r>
          </w:p>
          <w:p w14:paraId="267C7DCA" w14:textId="77777777" w:rsidR="00635289" w:rsidRPr="00885BCE" w:rsidRDefault="00BF411F" w:rsidP="0063528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Continua misurazione dei livelli di gas durante i lavori</w:t>
            </w:r>
          </w:p>
          <w:p w14:paraId="10F27079" w14:textId="23587983" w:rsidR="00322C55" w:rsidRPr="00885BCE" w:rsidRDefault="00BF411F" w:rsidP="00D3708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Registrare regolarmente </w:t>
            </w:r>
            <w:r w:rsidR="00D37081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i dati</w:t>
            </w: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nel </w:t>
            </w:r>
            <w:r w:rsidR="00D37081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protocollo </w:t>
            </w: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di misurazione del gas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18D60" w14:textId="77777777" w:rsidR="00502509" w:rsidRPr="00885BCE" w:rsidRDefault="006133DA" w:rsidP="009E1C6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 a rischio di incendio al di fuori delle zone di pericolo</w:t>
            </w:r>
            <w:r w:rsidR="00322C55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="00322C55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(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definizione allegata</w:t>
            </w:r>
            <w:r w:rsidR="00322C55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)</w:t>
            </w:r>
          </w:p>
          <w:p w14:paraId="65297749" w14:textId="77777777" w:rsidR="009E1C68" w:rsidRPr="00885BCE" w:rsidRDefault="006133DA" w:rsidP="009E1C68">
            <w:pPr>
              <w:pStyle w:val="Listenabsatz"/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61281F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:</w:t>
            </w:r>
          </w:p>
          <w:p w14:paraId="02D21C71" w14:textId="63B1B658" w:rsidR="00322C55" w:rsidRPr="00885BCE" w:rsidRDefault="006133DA" w:rsidP="00D3708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Per lavori a caldo in scavi/</w:t>
            </w:r>
            <w:r w:rsidR="00D37081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buche</w:t>
            </w:r>
            <w:r w:rsidR="0061281F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br/>
            </w:r>
            <w:r w:rsidR="00322C55" w:rsidRPr="00885BCE">
              <w:rPr>
                <w:rFonts w:eastAsia="Times New Roman" w:cs="Arial"/>
                <w:bCs/>
                <w:i/>
                <w:color w:val="0070C0"/>
                <w:sz w:val="12"/>
                <w:szCs w:val="16"/>
                <w:lang w:val="it-CH" w:eastAsia="de-DE"/>
              </w:rPr>
              <w:t>(</w:t>
            </w:r>
            <w:r w:rsidRPr="00885BCE">
              <w:rPr>
                <w:rFonts w:eastAsia="Times New Roman" w:cs="Arial"/>
                <w:bCs/>
                <w:i/>
                <w:color w:val="0070C0"/>
                <w:sz w:val="12"/>
                <w:szCs w:val="16"/>
                <w:lang w:val="it-CH" w:eastAsia="de-DE"/>
              </w:rPr>
              <w:t xml:space="preserve">Scavi, </w:t>
            </w:r>
            <w:r w:rsidR="000C2AE6" w:rsidRPr="00885BCE">
              <w:rPr>
                <w:rFonts w:eastAsia="Times New Roman" w:cs="Arial"/>
                <w:bCs/>
                <w:i/>
                <w:color w:val="0070C0"/>
                <w:sz w:val="12"/>
                <w:szCs w:val="16"/>
                <w:lang w:val="it-CH" w:eastAsia="de-DE"/>
              </w:rPr>
              <w:t>fosse per l’</w:t>
            </w:r>
            <w:r w:rsidRPr="00885BCE">
              <w:rPr>
                <w:rFonts w:eastAsia="Times New Roman" w:cs="Arial"/>
                <w:bCs/>
                <w:i/>
                <w:color w:val="0070C0"/>
                <w:sz w:val="12"/>
                <w:szCs w:val="16"/>
                <w:lang w:val="it-CH" w:eastAsia="de-DE"/>
              </w:rPr>
              <w:t>autolavagg</w:t>
            </w:r>
            <w:r w:rsidR="00E81BCB" w:rsidRPr="00885BCE">
              <w:rPr>
                <w:rFonts w:eastAsia="Times New Roman" w:cs="Arial"/>
                <w:bCs/>
                <w:i/>
                <w:color w:val="0070C0"/>
                <w:sz w:val="12"/>
                <w:szCs w:val="16"/>
                <w:lang w:val="it-CH" w:eastAsia="de-DE"/>
              </w:rPr>
              <w:t>io, scarichi a pavimento, pozzi,…)</w:t>
            </w:r>
            <w:r w:rsidR="0061281F" w:rsidRPr="00885BCE">
              <w:rPr>
                <w:rFonts w:eastAsia="Times New Roman" w:cs="Arial"/>
                <w:bCs/>
                <w:i/>
                <w:color w:val="0070C0"/>
                <w:sz w:val="12"/>
                <w:szCs w:val="16"/>
                <w:lang w:val="it-CH" w:eastAsia="de-DE"/>
              </w:rPr>
              <w:br/>
            </w:r>
            <w:r w:rsidR="00E81BCB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Verificare la presenza di gas e </w:t>
            </w:r>
            <w:r w:rsidR="00D37081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documentare</w:t>
            </w:r>
            <w:r w:rsidR="00E81BCB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i dati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themeColor="background1" w:themeShade="A6" w:fill="auto"/>
            <w:hideMark/>
          </w:tcPr>
          <w:p w14:paraId="5199C443" w14:textId="77777777" w:rsidR="00322C55" w:rsidRPr="00885BCE" w:rsidRDefault="00322C55" w:rsidP="006C259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</w:tr>
      <w:tr w:rsidR="00A8258F" w:rsidRPr="00FB032C" w14:paraId="31D8174D" w14:textId="77777777" w:rsidTr="00997219">
        <w:trPr>
          <w:trHeight w:val="14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BCBDB" w14:textId="77777777" w:rsidR="00A8258F" w:rsidRPr="00885BCE" w:rsidRDefault="004A5FDB" w:rsidP="00A825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Lavori con pericolo di caduta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hideMark/>
          </w:tcPr>
          <w:p w14:paraId="3E430B84" w14:textId="77777777" w:rsidR="0042140A" w:rsidRPr="00595CCD" w:rsidRDefault="0042140A" w:rsidP="0042140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595CCD"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  <w:t>Avvertenze:</w:t>
            </w:r>
          </w:p>
          <w:p w14:paraId="646848C1" w14:textId="23E6D760" w:rsidR="00A8258F" w:rsidRPr="0042140A" w:rsidRDefault="00BF411F" w:rsidP="0042140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42140A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Lavori in altezza </w:t>
            </w:r>
            <w:r w:rsidR="00475BA0" w:rsidRPr="0042140A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superiori a &gt; 1.80m,</w:t>
            </w:r>
            <w:r w:rsidR="0042140A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senza sistemi di sicurezza sono </w:t>
            </w:r>
            <w:r w:rsidR="0042140A" w:rsidRPr="0042140A">
              <w:rPr>
                <w:rFonts w:eastAsia="Times New Roman" w:cs="Arial"/>
                <w:bCs/>
                <w:i/>
                <w:color w:val="0070C0"/>
                <w:sz w:val="16"/>
                <w:szCs w:val="16"/>
                <w:u w:val="single"/>
                <w:lang w:val="it-CH" w:eastAsia="de-DE"/>
              </w:rPr>
              <w:t>vietati!</w:t>
            </w:r>
          </w:p>
          <w:p w14:paraId="38F7AC0E" w14:textId="77777777" w:rsidR="00A8258F" w:rsidRPr="00885BCE" w:rsidRDefault="009C224D" w:rsidP="00A8258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Adottare</w:t>
            </w:r>
            <w:r w:rsidR="00464FCA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le misure di sicurezza più adatte prima di eseguire i lavori</w:t>
            </w:r>
          </w:p>
          <w:p w14:paraId="1090548E" w14:textId="77777777" w:rsidR="00A8258F" w:rsidRPr="0042140A" w:rsidRDefault="00464FCA" w:rsidP="00A8258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Senza un sistema di sicurezza non si può lavorare!</w:t>
            </w:r>
          </w:p>
          <w:p w14:paraId="0C08794C" w14:textId="77777777" w:rsidR="00A8258F" w:rsidRPr="0042140A" w:rsidRDefault="00464FCA" w:rsidP="00A8258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42140A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Non si lavora mai da soli! Lavori da eseguire sempre in due!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hideMark/>
          </w:tcPr>
          <w:p w14:paraId="3DCD4759" w14:textId="77777777" w:rsidR="00A8258F" w:rsidRDefault="00E81BCB" w:rsidP="00A8258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Lavori in altezza superiori a </w:t>
            </w:r>
            <w:r w:rsidR="00A8258F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&gt; 1,80m,</w:t>
            </w:r>
            <w:r w:rsidR="00A8258F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nel caso esistano dei sistemi di sicurezza.</w:t>
            </w:r>
          </w:p>
          <w:p w14:paraId="201C206F" w14:textId="77777777" w:rsidR="00ED5769" w:rsidRPr="00885BCE" w:rsidRDefault="00ED5769" w:rsidP="00ED5769">
            <w:pPr>
              <w:pStyle w:val="Listenabsatz"/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Avvertenze:</w:t>
            </w:r>
          </w:p>
          <w:p w14:paraId="13D813D8" w14:textId="409D9735" w:rsidR="00ED5769" w:rsidRPr="0042140A" w:rsidRDefault="00ED5769" w:rsidP="00ED576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42140A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Lavori </w:t>
            </w:r>
            <w:r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con scale doppie se possibile dal punto organizzativo o tecnico sono da evitare.</w:t>
            </w:r>
          </w:p>
          <w:p w14:paraId="637E0621" w14:textId="7CBE552D" w:rsidR="00ED5769" w:rsidRPr="00885BCE" w:rsidRDefault="00ED5769" w:rsidP="00ED576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Lavori con scale appoggiate sono </w:t>
            </w:r>
            <w:r w:rsidRPr="00893253">
              <w:rPr>
                <w:rFonts w:eastAsia="Times New Roman" w:cs="Arial"/>
                <w:bCs/>
                <w:i/>
                <w:color w:val="0070C0"/>
                <w:sz w:val="16"/>
                <w:szCs w:val="16"/>
                <w:u w:val="single"/>
                <w:lang w:val="it-CH" w:eastAsia="de-DE"/>
              </w:rPr>
              <w:t>vietati!</w:t>
            </w:r>
          </w:p>
          <w:p w14:paraId="3C220471" w14:textId="56D8C714" w:rsidR="00ED5769" w:rsidRPr="00ED5769" w:rsidRDefault="00ED5769" w:rsidP="00ED5769">
            <w:pPr>
              <w:pStyle w:val="Listenabsatz"/>
              <w:spacing w:after="0" w:line="240" w:lineRule="auto"/>
              <w:ind w:left="91"/>
              <w:contextualSpacing w:val="0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thinDiagStripe" w:color="A6A6A6" w:themeColor="background1" w:themeShade="A6" w:fill="auto"/>
            <w:hideMark/>
          </w:tcPr>
          <w:p w14:paraId="001146DC" w14:textId="77777777" w:rsidR="00A8258F" w:rsidRPr="00885BCE" w:rsidRDefault="00A8258F" w:rsidP="00A8258F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</w:tc>
      </w:tr>
      <w:tr w:rsidR="00A8258F" w:rsidRPr="00FB032C" w14:paraId="00D9D3D7" w14:textId="77777777" w:rsidTr="00997219">
        <w:trPr>
          <w:trHeight w:val="14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359" w14:textId="77777777" w:rsidR="00A8258F" w:rsidRPr="00885BCE" w:rsidRDefault="00A8258F" w:rsidP="00A8258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hideMark/>
          </w:tcPr>
          <w:p w14:paraId="06940685" w14:textId="77CADA94" w:rsidR="0008669C" w:rsidRPr="0042140A" w:rsidRDefault="00464FCA" w:rsidP="0008669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Lavori con pericolo di caduta in profondità da &gt; 1.8m,</w:t>
            </w:r>
            <w:r w:rsidR="00A8258F" w:rsidRP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br/>
            </w:r>
            <w:r w:rsidRP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per es. </w:t>
            </w:r>
            <w:r w:rsidR="001F68CB" w:rsidRP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lungo una scarpata, scavi, </w:t>
            </w:r>
            <w:r w:rsidR="009C224D" w:rsidRP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pozzi,</w:t>
            </w:r>
            <w:r w:rsidR="003F4C0A" w:rsidRP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separatori,</w:t>
            </w:r>
            <w:r w:rsidR="009C224D" w:rsidRP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… </w:t>
            </w:r>
            <w:r w:rsid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</w:t>
            </w:r>
            <w:r w:rsid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senza sistemi di sicurezza sono </w:t>
            </w:r>
            <w:r w:rsidR="0008669C" w:rsidRPr="0008669C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vietati!</w:t>
            </w:r>
          </w:p>
          <w:p w14:paraId="0001CD62" w14:textId="6F1B54E0" w:rsidR="00A8258F" w:rsidRPr="00885BCE" w:rsidRDefault="009C224D" w:rsidP="00A8258F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A8258F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:</w:t>
            </w:r>
          </w:p>
          <w:p w14:paraId="6030CEBD" w14:textId="77777777" w:rsidR="00A8258F" w:rsidRPr="0008669C" w:rsidRDefault="009C224D" w:rsidP="00A8258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Adottare le misure di sicurezza adeguate prima dell’inizio dei lavori </w:t>
            </w:r>
          </w:p>
          <w:p w14:paraId="4B7813F5" w14:textId="77777777" w:rsidR="009C224D" w:rsidRPr="0008669C" w:rsidRDefault="009C224D" w:rsidP="009C224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Senza un sistema di sicurezza non si può lavorare!</w:t>
            </w:r>
          </w:p>
          <w:p w14:paraId="58A289E6" w14:textId="77777777" w:rsidR="00A8258F" w:rsidRPr="0008669C" w:rsidRDefault="00A8258F" w:rsidP="009C224D">
            <w:pPr>
              <w:pStyle w:val="Listenabsatz"/>
              <w:spacing w:after="0" w:line="240" w:lineRule="auto"/>
              <w:ind w:left="142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hideMark/>
          </w:tcPr>
          <w:p w14:paraId="65C3C548" w14:textId="77777777" w:rsidR="00A8258F" w:rsidRDefault="00E81BCB" w:rsidP="00A8258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Lavori con pericolo di caduta in profondità da </w:t>
            </w:r>
            <w:r w:rsidR="00A8258F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&gt; 1,80m,</w:t>
            </w:r>
            <w:r w:rsidR="00A8258F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per es. lungo una scarpata, scavi, pozzi,</w:t>
            </w:r>
            <w:r w:rsidR="003F4C0A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separatori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… nel caso esistano dei sistemi di sicurezza.</w:t>
            </w:r>
          </w:p>
          <w:p w14:paraId="34C74653" w14:textId="77777777" w:rsidR="00893253" w:rsidRPr="00885BCE" w:rsidRDefault="00893253" w:rsidP="00893253">
            <w:pPr>
              <w:pStyle w:val="Listenabsatz"/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Avvertenze:</w:t>
            </w:r>
          </w:p>
          <w:p w14:paraId="5BE19EF7" w14:textId="3DE067CD" w:rsidR="00893253" w:rsidRPr="00885BCE" w:rsidRDefault="00893253" w:rsidP="0089325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Durante l</w:t>
            </w:r>
            <w:r w:rsidRPr="0042140A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avori </w:t>
            </w:r>
            <w:r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con pericolo di caduta in profondità prendere provvedimenti tecnici o organizzativi.</w:t>
            </w:r>
          </w:p>
          <w:p w14:paraId="6E912BF8" w14:textId="37A5914B" w:rsidR="00893253" w:rsidRPr="00893253" w:rsidRDefault="00893253" w:rsidP="00893253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thinDiagStripe" w:color="A6A6A6" w:themeColor="background1" w:themeShade="A6" w:fill="auto"/>
            <w:hideMark/>
          </w:tcPr>
          <w:p w14:paraId="5250CD1E" w14:textId="77777777" w:rsidR="00A8258F" w:rsidRPr="00885BCE" w:rsidRDefault="00A8258F" w:rsidP="00A825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bookmarkStart w:id="0" w:name="_GoBack"/>
            <w:bookmarkEnd w:id="0"/>
          </w:p>
        </w:tc>
      </w:tr>
      <w:tr w:rsidR="00A8258F" w:rsidRPr="00FB032C" w14:paraId="7BC487A0" w14:textId="77777777" w:rsidTr="00997219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8DB6" w14:textId="77777777" w:rsidR="00A8258F" w:rsidRPr="00885BCE" w:rsidRDefault="00A8258F" w:rsidP="00A8258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95836" w14:textId="77777777" w:rsidR="00A8258F" w:rsidRPr="00885BCE" w:rsidRDefault="009C224D" w:rsidP="00A8258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 con piattaforme elevatrici da &gt; 7m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9CD6F" w14:textId="77777777" w:rsidR="00A8258F" w:rsidRPr="00885BCE" w:rsidRDefault="00E81BCB" w:rsidP="00A8258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Lavori con piattaforme elevatrici da </w:t>
            </w:r>
            <w:r w:rsidR="00A8258F" w:rsidRPr="00885BCE">
              <w:rPr>
                <w:rFonts w:ascii="Symbol" w:hAnsi="Symbol" w:cs="Symbol"/>
                <w:sz w:val="16"/>
                <w:szCs w:val="16"/>
                <w:lang w:val="it-CH"/>
              </w:rPr>
              <w:t></w:t>
            </w:r>
            <w:r w:rsidR="00A8258F" w:rsidRPr="00885BCE">
              <w:rPr>
                <w:rFonts w:ascii="Symbol" w:hAnsi="Symbol" w:cs="Symbol"/>
                <w:sz w:val="16"/>
                <w:szCs w:val="16"/>
                <w:lang w:val="it-CH"/>
              </w:rPr>
              <w:t></w:t>
            </w:r>
            <w:r w:rsidR="00A8258F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7m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themeColor="background1" w:themeShade="A6" w:fill="auto"/>
            <w:hideMark/>
          </w:tcPr>
          <w:p w14:paraId="7EFAEF8A" w14:textId="77777777" w:rsidR="00A8258F" w:rsidRPr="00885BCE" w:rsidRDefault="00A8258F" w:rsidP="00A825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</w:tr>
      <w:tr w:rsidR="00135364" w:rsidRPr="00FB032C" w14:paraId="437984E6" w14:textId="77777777" w:rsidTr="00EA46DB">
        <w:trPr>
          <w:trHeight w:val="1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40720" w14:textId="77777777" w:rsidR="00322C55" w:rsidRPr="00885BCE" w:rsidRDefault="004A5FDB" w:rsidP="00211B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Lavori in spazi ristretti 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3628" w14:textId="77777777" w:rsidR="00502509" w:rsidRPr="00885BCE" w:rsidRDefault="009C224D" w:rsidP="009E1C6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 w:val="0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Lavorare in pozzi profondi </w:t>
            </w:r>
            <w:r w:rsidR="00502509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&gt; 1,25m</w:t>
            </w:r>
          </w:p>
          <w:p w14:paraId="6B448D12" w14:textId="77777777" w:rsidR="00502509" w:rsidRPr="00885BCE" w:rsidRDefault="009C224D" w:rsidP="009E1C6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 w:val="0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Lavorare in impianti di separazione</w:t>
            </w:r>
          </w:p>
          <w:p w14:paraId="3FE4E526" w14:textId="77777777" w:rsidR="00502509" w:rsidRPr="00885BCE" w:rsidRDefault="009C224D" w:rsidP="009E1C6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 w:val="0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Lavorare in serbatoi</w:t>
            </w:r>
            <w:r w:rsidR="00322C55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, </w:t>
            </w:r>
            <w:r w:rsidR="003F4C0A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vedi punto</w:t>
            </w:r>
            <w:r w:rsidR="00322C55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</w:t>
            </w:r>
            <w:r w:rsidR="003A33F3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6</w:t>
            </w:r>
            <w:r w:rsidR="00322C55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)</w:t>
            </w:r>
          </w:p>
          <w:p w14:paraId="4B37B527" w14:textId="77777777" w:rsidR="00502509" w:rsidRPr="00885BCE" w:rsidRDefault="009C224D" w:rsidP="009E1C6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 w:val="0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Lavorare in spazi stretti secondo </w:t>
            </w:r>
            <w:r w:rsidR="003F4C0A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le disposizioni di legge nazionali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</w:p>
          <w:p w14:paraId="332D648C" w14:textId="77777777" w:rsidR="009E1C68" w:rsidRPr="00885BCE" w:rsidRDefault="009C224D" w:rsidP="009E1C68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61281F" w:rsidRPr="00885BCE"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  <w:t>:</w:t>
            </w:r>
          </w:p>
          <w:p w14:paraId="6F771E5B" w14:textId="77777777" w:rsidR="00322C55" w:rsidRPr="00885BCE" w:rsidRDefault="006133DA" w:rsidP="009E1C6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Effettuare le misurazioni del ga</w:t>
            </w:r>
            <w:r w:rsidR="009C224D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s con cadenza regolare e registrare i dati sul formulario di misurazione dei gas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47E8C" w14:textId="77777777" w:rsidR="00502509" w:rsidRPr="00885BCE" w:rsidRDefault="00E81BCB" w:rsidP="009E1C6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 w:val="0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Lavorare in pozzi profondi </w:t>
            </w:r>
            <w:r w:rsidR="00322C55" w:rsidRPr="00885B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CH" w:eastAsia="de-DE"/>
              </w:rPr>
              <w:t>≤</w:t>
            </w:r>
            <w:r w:rsidR="00322C55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1,25m</w:t>
            </w:r>
          </w:p>
          <w:p w14:paraId="3E079381" w14:textId="77777777" w:rsidR="00211B9F" w:rsidRPr="00885BCE" w:rsidRDefault="00211B9F" w:rsidP="009E1C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  <w:p w14:paraId="43B2A31D" w14:textId="77777777" w:rsidR="00211B9F" w:rsidRPr="00885BCE" w:rsidRDefault="00211B9F" w:rsidP="009E1C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  <w:p w14:paraId="372874EA" w14:textId="77777777" w:rsidR="00211B9F" w:rsidRPr="00885BCE" w:rsidRDefault="00211B9F" w:rsidP="009E1C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  <w:p w14:paraId="261A05A2" w14:textId="77777777" w:rsidR="009E1C68" w:rsidRPr="00885BCE" w:rsidRDefault="00E81BCB" w:rsidP="009E1C68">
            <w:pPr>
              <w:spacing w:before="40" w:after="0" w:line="240" w:lineRule="auto"/>
              <w:jc w:val="left"/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61281F" w:rsidRPr="00885BCE"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  <w:t>:</w:t>
            </w:r>
          </w:p>
          <w:p w14:paraId="4F56DC69" w14:textId="77777777" w:rsidR="00322C55" w:rsidRPr="00885BCE" w:rsidRDefault="00E81BCB" w:rsidP="009E1C6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Effettuare le misurazioni del gas con cadenza regolare e registrare i dati sul formulario di misurazione dei gas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themeColor="background1" w:themeShade="A6" w:fill="auto"/>
            <w:hideMark/>
          </w:tcPr>
          <w:p w14:paraId="525289B3" w14:textId="77777777" w:rsidR="00322C55" w:rsidRPr="00885BCE" w:rsidRDefault="00322C55" w:rsidP="006C259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</w:tr>
      <w:tr w:rsidR="00322C55" w:rsidRPr="00FB032C" w14:paraId="034B0875" w14:textId="77777777" w:rsidTr="006C259E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C4279" w14:textId="77777777" w:rsidR="00322C55" w:rsidRPr="00885BCE" w:rsidRDefault="004A5FDB" w:rsidP="00322C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Lavori di scavo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EA69" w14:textId="77777777" w:rsidR="00211B9F" w:rsidRPr="00885BCE" w:rsidRDefault="009C224D" w:rsidP="009E1C6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 di scavo con profondità &gt; 1.25m</w:t>
            </w:r>
            <w:r w:rsidR="00322C55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o all’interno delle zone di pericolo</w:t>
            </w:r>
          </w:p>
          <w:p w14:paraId="10337871" w14:textId="77777777" w:rsidR="009E1C68" w:rsidRPr="00885BCE" w:rsidRDefault="009C224D" w:rsidP="009E1C68">
            <w:pPr>
              <w:pStyle w:val="Listenabsatz"/>
              <w:spacing w:after="0" w:line="240" w:lineRule="auto"/>
              <w:ind w:left="0"/>
              <w:contextualSpacing w:val="0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61281F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:</w:t>
            </w:r>
          </w:p>
          <w:p w14:paraId="21A046AB" w14:textId="77777777" w:rsidR="009E1C68" w:rsidRPr="00885BCE" w:rsidRDefault="009C224D" w:rsidP="009E1C6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Nelle vicinanze di condotte procedere con lo scavo a mano.</w:t>
            </w:r>
          </w:p>
          <w:p w14:paraId="1CC3C9C4" w14:textId="58768166" w:rsidR="00322C55" w:rsidRPr="008568A4" w:rsidRDefault="00E75242" w:rsidP="00D36C5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i/>
                <w:sz w:val="16"/>
                <w:szCs w:val="16"/>
                <w:lang w:val="it-CH" w:eastAsia="de-DE"/>
              </w:rPr>
            </w:pPr>
            <w:r w:rsidRPr="00E75242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Utilizzare puntellamenti</w:t>
            </w:r>
            <w:r w:rsidR="00D458F3" w:rsidRPr="00E75242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, </w:t>
            </w:r>
            <w:r w:rsidR="00D36C51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incastro maschio e femmina</w:t>
            </w:r>
            <w:r w:rsidRPr="00E75242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o scarpate.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2E29" w14:textId="77777777" w:rsidR="00211B9F" w:rsidRPr="00885BCE" w:rsidRDefault="00E81BCB" w:rsidP="00E81B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3" w:hanging="233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Lavori di scavo con profondità </w:t>
            </w:r>
            <w:r w:rsidR="0061281F" w:rsidRPr="00885B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CH" w:eastAsia="de-DE"/>
              </w:rPr>
              <w:t xml:space="preserve">≤ </w:t>
            </w:r>
            <w:r w:rsidR="00322C55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1,25m 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e</w:t>
            </w:r>
            <w:r w:rsidR="00322C55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&gt; 0,5m</w:t>
            </w:r>
            <w:r w:rsidR="00322C55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e all’esterno delle zone di pericolo</w:t>
            </w:r>
          </w:p>
          <w:p w14:paraId="53979916" w14:textId="77777777" w:rsidR="009E1C68" w:rsidRPr="00885BCE" w:rsidRDefault="00E81BCB" w:rsidP="009E1C68">
            <w:pPr>
              <w:spacing w:after="0" w:line="240" w:lineRule="auto"/>
              <w:jc w:val="left"/>
              <w:rPr>
                <w:rFonts w:eastAsia="Times New Roman" w:cs="Arial"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42329E" w:rsidRPr="00885BCE">
              <w:rPr>
                <w:rFonts w:eastAsia="Times New Roman" w:cs="Arial"/>
                <w:i/>
                <w:color w:val="0070C0"/>
                <w:sz w:val="16"/>
                <w:szCs w:val="16"/>
                <w:lang w:val="it-CH" w:eastAsia="de-DE"/>
              </w:rPr>
              <w:t>:</w:t>
            </w:r>
          </w:p>
          <w:p w14:paraId="79D8B1B0" w14:textId="77777777" w:rsidR="00322C55" w:rsidRPr="00885BCE" w:rsidRDefault="00E81BCB" w:rsidP="009E1C6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Nelle vicinanze di condotte procedere con lo scavo a mano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1454F" w14:textId="77777777" w:rsidR="00322C55" w:rsidRDefault="00E81BCB" w:rsidP="009E1C6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Lavori di scavo con profondità </w:t>
            </w:r>
            <w:r w:rsidR="00322C55" w:rsidRPr="00885BCE">
              <w:rPr>
                <w:rFonts w:ascii="Times New Roman" w:eastAsia="Times New Roman" w:hAnsi="Times New Roman" w:cs="Times New Roman"/>
                <w:sz w:val="16"/>
                <w:szCs w:val="16"/>
                <w:lang w:val="it-CH" w:eastAsia="de-DE"/>
              </w:rPr>
              <w:t>≤</w:t>
            </w:r>
            <w:r w:rsidR="00322C55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0,5m</w:t>
            </w:r>
            <w:r w:rsidR="00322C55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e all’esterno delle zone di pericolo</w:t>
            </w:r>
          </w:p>
          <w:p w14:paraId="2298F9DD" w14:textId="77777777" w:rsidR="006A41A8" w:rsidRPr="00885BCE" w:rsidRDefault="006A41A8" w:rsidP="006A41A8">
            <w:pPr>
              <w:spacing w:after="0" w:line="240" w:lineRule="auto"/>
              <w:jc w:val="left"/>
              <w:rPr>
                <w:rFonts w:eastAsia="Times New Roman" w:cs="Arial"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i/>
                <w:color w:val="0070C0"/>
                <w:sz w:val="16"/>
                <w:szCs w:val="16"/>
                <w:lang w:val="it-CH" w:eastAsia="de-DE"/>
              </w:rPr>
              <w:t>Avvertenze:</w:t>
            </w:r>
          </w:p>
          <w:p w14:paraId="09259ED5" w14:textId="05BFB459" w:rsidR="006A41A8" w:rsidRPr="006A41A8" w:rsidRDefault="006A41A8" w:rsidP="006A41A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6A41A8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Nelle vicinanze di condotte procedere con lo scavo a mano</w:t>
            </w:r>
          </w:p>
        </w:tc>
      </w:tr>
      <w:tr w:rsidR="006D0F25" w:rsidRPr="00FB032C" w14:paraId="446381D9" w14:textId="77777777" w:rsidTr="00602FD9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01105" w14:textId="77777777" w:rsidR="00322C55" w:rsidRPr="00885BCE" w:rsidRDefault="004A5FDB" w:rsidP="005462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 xml:space="preserve">Lavori da elettricista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F8C9C" w14:textId="77777777" w:rsidR="00596C29" w:rsidRPr="00885BCE" w:rsidRDefault="006133DA" w:rsidP="00596C29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42329E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:</w:t>
            </w:r>
          </w:p>
          <w:p w14:paraId="52023C80" w14:textId="6ECC98BD" w:rsidR="00596C29" w:rsidRPr="00C301DB" w:rsidRDefault="006A41A8" w:rsidP="00596C2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/>
                <w:bCs/>
                <w:i/>
                <w:sz w:val="16"/>
                <w:szCs w:val="16"/>
                <w:lang w:val="it-CH" w:eastAsia="de-DE"/>
              </w:rPr>
            </w:pPr>
            <w:r w:rsidRPr="00C301DB"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  <w:t>Lavori sotto tensione elettrica sono</w:t>
            </w:r>
            <w:r w:rsidR="00C301DB"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proibiti</w:t>
            </w:r>
            <w:r w:rsidR="006133DA" w:rsidRPr="00C301DB"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  <w:t>!</w:t>
            </w:r>
          </w:p>
          <w:p w14:paraId="27392D05" w14:textId="77777777" w:rsidR="00322C55" w:rsidRPr="006A41A8" w:rsidRDefault="006133DA" w:rsidP="00596C2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È permesso solo quando il lavoro è </w:t>
            </w:r>
            <w:r w:rsidRPr="006A41A8">
              <w:rPr>
                <w:rFonts w:eastAsia="Times New Roman" w:cs="Arial"/>
                <w:bCs/>
                <w:i/>
                <w:color w:val="0070C0"/>
                <w:sz w:val="16"/>
                <w:szCs w:val="16"/>
                <w:u w:val="single"/>
                <w:lang w:val="it-CH" w:eastAsia="de-DE"/>
              </w:rPr>
              <w:t>tecnicamente</w:t>
            </w: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inevitabile! </w:t>
            </w:r>
          </w:p>
          <w:p w14:paraId="15223986" w14:textId="77777777" w:rsidR="006A41A8" w:rsidRPr="006A41A8" w:rsidRDefault="006A41A8" w:rsidP="006A41A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Adottare le norme di sicurezza locali!</w:t>
            </w:r>
          </w:p>
          <w:p w14:paraId="3AD7CFB2" w14:textId="4D768377" w:rsidR="006A41A8" w:rsidRPr="00885BCE" w:rsidRDefault="006A41A8" w:rsidP="006A41A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sz w:val="16"/>
                <w:szCs w:val="16"/>
                <w:lang w:val="it-CH" w:eastAsia="de-DE"/>
              </w:rPr>
            </w:pPr>
            <w:r w:rsidRPr="00602FD9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L’autorizzazione viene conferita dalla </w:t>
            </w:r>
            <w:r w:rsidR="00602FD9" w:rsidRPr="00602FD9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società petrolifera competente</w:t>
            </w:r>
            <w:r w:rsidR="00602FD9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(richiedere MOC è compilare il PTW)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0688" w14:textId="40F66FE6" w:rsidR="00602FD9" w:rsidRPr="00602FD9" w:rsidRDefault="00602FD9" w:rsidP="00C301D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Tutti i lavori da elettricista che possono essere effettuati senza tensione alle linee elettrice o impianti</w:t>
            </w:r>
            <w:r w:rsidR="0074572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elettrici</w:t>
            </w:r>
          </w:p>
          <w:p w14:paraId="068CF679" w14:textId="764DF21D" w:rsidR="00C301DB" w:rsidRDefault="00C301DB" w:rsidP="00C301D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C301DB"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  <w:t>Lavori sotto tensione elettrica sono</w:t>
            </w:r>
            <w:r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proibiti</w:t>
            </w:r>
            <w:r w:rsidRPr="00C301DB">
              <w:rPr>
                <w:rFonts w:eastAsia="Times New Roman" w:cs="Arial"/>
                <w:b/>
                <w:bCs/>
                <w:i/>
                <w:color w:val="0070C0"/>
                <w:sz w:val="16"/>
                <w:szCs w:val="16"/>
                <w:lang w:val="it-CH" w:eastAsia="de-DE"/>
              </w:rPr>
              <w:t>!</w:t>
            </w:r>
          </w:p>
          <w:p w14:paraId="274E2A50" w14:textId="13BD54DA" w:rsidR="00C301DB" w:rsidRPr="00C301DB" w:rsidRDefault="00C301DB" w:rsidP="00C301D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C301DB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Effettuare</w:t>
            </w:r>
            <w:r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un completo LOTO e documentare</w:t>
            </w:r>
            <w:r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br/>
              <w:t>significa spegnere, bloccare contro l’attivazione, marcare e assicurarsi che sia stato spento adeguatamente (spesso indicato anche come LO-TO-TO)</w:t>
            </w:r>
          </w:p>
          <w:p w14:paraId="0447A74D" w14:textId="77777777" w:rsidR="00322C55" w:rsidRPr="00885BCE" w:rsidRDefault="00322C55" w:rsidP="006C259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9DAF6" w14:textId="77777777" w:rsidR="005E1D20" w:rsidRPr="00885BCE" w:rsidRDefault="00E81BCB" w:rsidP="006C25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Misurare / Controllare / cercare </w:t>
            </w:r>
            <w:r w:rsidR="005F5614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il difetto</w:t>
            </w:r>
          </w:p>
          <w:p w14:paraId="6581ECBA" w14:textId="77777777" w:rsidR="00D458F3" w:rsidRPr="00D458F3" w:rsidRDefault="00D458F3" w:rsidP="006C25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Separazione degli impianti a corrente e</w:t>
            </w:r>
            <w:r w:rsidR="008568A4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lettrica e relativi accessori/impianti (interruttori, sicurezze, etc.)</w:t>
            </w:r>
          </w:p>
        </w:tc>
      </w:tr>
      <w:tr w:rsidR="00135364" w:rsidRPr="00FB032C" w14:paraId="205625AF" w14:textId="77777777" w:rsidTr="00893DCE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93959" w14:textId="77777777" w:rsidR="00413719" w:rsidRPr="00885BCE" w:rsidRDefault="004A5FDB" w:rsidP="004137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lastRenderedPageBreak/>
              <w:t xml:space="preserve">Lavori con amianto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EB2B" w14:textId="0E433708" w:rsidR="00413719" w:rsidRPr="00885BCE" w:rsidRDefault="005170F6" w:rsidP="005170F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Per lavori con amianto il PTW e sempre obbligatorio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themeColor="background1" w:themeShade="A6" w:fill="auto"/>
            <w:hideMark/>
          </w:tcPr>
          <w:p w14:paraId="34DF9050" w14:textId="77777777" w:rsidR="00413719" w:rsidRPr="00885BCE" w:rsidRDefault="00413719" w:rsidP="006C259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themeColor="background1" w:themeShade="A6" w:fill="auto"/>
            <w:hideMark/>
          </w:tcPr>
          <w:p w14:paraId="7FB00FAC" w14:textId="77777777" w:rsidR="00413719" w:rsidRPr="00885BCE" w:rsidRDefault="00413719" w:rsidP="006C259E">
            <w:pPr>
              <w:tabs>
                <w:tab w:val="left" w:pos="626"/>
              </w:tabs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</w:tr>
    </w:tbl>
    <w:p w14:paraId="23F06924" w14:textId="77777777" w:rsidR="002C3F74" w:rsidRPr="00885BCE" w:rsidRDefault="002C3F74">
      <w:pPr>
        <w:rPr>
          <w:lang w:val="it-CH"/>
        </w:rPr>
      </w:pPr>
    </w:p>
    <w:tbl>
      <w:tblPr>
        <w:tblpPr w:leftFromText="142" w:rightFromText="142" w:vertAnchor="page" w:tblpXSpec="center" w:tblpY="1645"/>
        <w:tblOverlap w:val="never"/>
        <w:tblW w:w="15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649"/>
        <w:gridCol w:w="4649"/>
        <w:gridCol w:w="4649"/>
      </w:tblGrid>
      <w:tr w:rsidR="004A0DFE" w:rsidRPr="00885BCE" w14:paraId="5C2E97DD" w14:textId="77777777" w:rsidTr="00DB70E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8FE5741" w14:textId="77777777" w:rsidR="004A0DFE" w:rsidRPr="00885BCE" w:rsidRDefault="004A0DFE" w:rsidP="004A0DFE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6635E6" w14:textId="77777777" w:rsidR="004A0DFE" w:rsidRPr="00885BCE" w:rsidRDefault="00905742" w:rsidP="004A0D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24"/>
                <w:szCs w:val="24"/>
                <w:lang w:val="it-CH" w:eastAsia="de-DE"/>
              </w:rPr>
              <w:t>Definizione dei limiti</w:t>
            </w:r>
            <w:r w:rsidR="004A0DFE" w:rsidRPr="00885BCE">
              <w:rPr>
                <w:rFonts w:eastAsia="Times New Roman" w:cs="Arial"/>
                <w:b/>
                <w:bCs/>
                <w:sz w:val="24"/>
                <w:szCs w:val="24"/>
                <w:lang w:val="it-CH" w:eastAsia="de-DE"/>
              </w:rPr>
              <w:t xml:space="preserve"> 2/2</w:t>
            </w:r>
          </w:p>
        </w:tc>
      </w:tr>
      <w:tr w:rsidR="000C2AE6" w:rsidRPr="00885BCE" w14:paraId="363D34FA" w14:textId="77777777" w:rsidTr="00DB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000000" w:fill="D9D9D9"/>
            <w:vAlign w:val="center"/>
          </w:tcPr>
          <w:p w14:paraId="0284D4ED" w14:textId="77777777" w:rsidR="000C2AE6" w:rsidRPr="00885BCE" w:rsidRDefault="000C2AE6" w:rsidP="000C2AE6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000000" w:fill="FF0000"/>
            <w:vAlign w:val="center"/>
          </w:tcPr>
          <w:p w14:paraId="3CE94132" w14:textId="77777777" w:rsidR="000C2AE6" w:rsidRPr="00885BCE" w:rsidRDefault="000C2AE6" w:rsidP="000C2A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>Attività a pericolo elevato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5B76DE60" w14:textId="77777777" w:rsidR="000C2AE6" w:rsidRPr="00885BCE" w:rsidRDefault="000C2AE6" w:rsidP="000C2A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>Attività a pericolo medio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A3DF717" w14:textId="77777777" w:rsidR="000C2AE6" w:rsidRPr="00885BCE" w:rsidRDefault="000C2AE6" w:rsidP="000C2A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lang w:val="it-CH" w:eastAsia="de-DE"/>
              </w:rPr>
              <w:t>Attività a pericolo basso</w:t>
            </w:r>
          </w:p>
        </w:tc>
      </w:tr>
      <w:tr w:rsidR="004A0DFE" w:rsidRPr="0008669C" w14:paraId="40FEB53B" w14:textId="77777777" w:rsidTr="00DB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701" w:type="dxa"/>
            <w:shd w:val="clear" w:color="000000" w:fill="D9D9D9"/>
            <w:vAlign w:val="center"/>
            <w:hideMark/>
          </w:tcPr>
          <w:p w14:paraId="65262BF7" w14:textId="77777777" w:rsidR="004A0DFE" w:rsidRPr="00885BCE" w:rsidRDefault="004A5FDB" w:rsidP="004A0D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Lavori con gru e elevatori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4719812" w14:textId="77777777" w:rsidR="004A0DFE" w:rsidRPr="00885BCE" w:rsidRDefault="003356E4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 con gru e elevatori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&gt; 5.000kg,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p</w:t>
            </w:r>
            <w:r w:rsidR="007749AD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er es. serbatoi per carburanti</w:t>
            </w:r>
            <w:r w:rsidR="004A0DFE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,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pensiline</w:t>
            </w:r>
            <w:r w:rsidR="004A0DFE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, ...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 w:type="page"/>
            </w:r>
          </w:p>
          <w:p w14:paraId="14E3AF40" w14:textId="77777777" w:rsidR="004A0DFE" w:rsidRPr="00885BCE" w:rsidRDefault="003356E4" w:rsidP="00E43F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 critici con gru</w:t>
            </w:r>
            <w:r w:rsidR="00E43F4D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="00E43F4D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(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per es.</w:t>
            </w:r>
            <w:r w:rsidR="00E43F4D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utilizzo di strutture di supporto</w:t>
            </w:r>
            <w:r w:rsidR="007749AD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nelle vicinanze di cavi ad alta tensione, </w:t>
            </w:r>
            <w:r w:rsidR="005F5614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al di sopra di zone pubbliche)</w:t>
            </w:r>
          </w:p>
          <w:p w14:paraId="7DC6F360" w14:textId="77777777" w:rsidR="009D40EE" w:rsidRPr="00885BCE" w:rsidRDefault="003356E4" w:rsidP="009D40EE">
            <w:pPr>
              <w:spacing w:after="0" w:line="240" w:lineRule="auto"/>
              <w:jc w:val="left"/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Avvertenze</w:t>
            </w:r>
            <w:r w:rsidR="0042329E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:</w:t>
            </w:r>
          </w:p>
          <w:p w14:paraId="5473B4DE" w14:textId="15CB42AA" w:rsidR="004A0DFE" w:rsidRPr="00885BCE" w:rsidRDefault="00893DCE" w:rsidP="00893DC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hanging="141"/>
              <w:jc w:val="left"/>
              <w:rPr>
                <w:rFonts w:eastAsia="Times New Roman" w:cs="Arial"/>
                <w:i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S</w:t>
            </w:r>
            <w:r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ono esclusi </w:t>
            </w:r>
            <w:r w:rsidR="003356E4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Tritarifiuti e Container/</w:t>
            </w:r>
            <w:r w:rsidR="004B072B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 </w:t>
            </w:r>
            <w:r w:rsidR="003356E4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Vasche</w:t>
            </w:r>
            <w:r w:rsidR="004A0DFE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>,</w:t>
            </w:r>
            <w:r w:rsidR="009D40EE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br/>
            </w:r>
            <w:r w:rsidR="003356E4" w:rsidRPr="00885BCE">
              <w:rPr>
                <w:rFonts w:eastAsia="Times New Roman" w:cs="Arial"/>
                <w:bCs/>
                <w:i/>
                <w:color w:val="0070C0"/>
                <w:sz w:val="16"/>
                <w:szCs w:val="16"/>
                <w:lang w:val="it-CH" w:eastAsia="de-DE"/>
              </w:rPr>
              <w:t xml:space="preserve">che vengono caricati direttamente su dei camion 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5EE8063" w14:textId="206D8521" w:rsidR="004A0DFE" w:rsidRPr="00885BCE" w:rsidRDefault="006A399D" w:rsidP="000F131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t>Tutti gli altri lavori con gru e elevatori</w:t>
            </w:r>
            <w:r w:rsidR="004A0DFE" w:rsidRPr="00885BCE">
              <w:rPr>
                <w:rFonts w:eastAsia="Times New Roman" w:cs="Arial"/>
                <w:sz w:val="16"/>
                <w:szCs w:val="16"/>
                <w:lang w:val="it-CH" w:eastAsia="de-DE"/>
              </w:rPr>
              <w:br/>
            </w:r>
            <w:r w:rsidR="000F1313">
              <w:rPr>
                <w:rFonts w:eastAsia="Times New Roman" w:cs="Arial"/>
                <w:sz w:val="12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sz w:val="12"/>
                <w:szCs w:val="16"/>
                <w:lang w:val="it-CH" w:eastAsia="de-DE"/>
              </w:rPr>
              <w:t>per es</w:t>
            </w:r>
            <w:r w:rsidR="004A0DFE" w:rsidRPr="00885BCE">
              <w:rPr>
                <w:rFonts w:eastAsia="Times New Roman" w:cs="Arial"/>
                <w:sz w:val="12"/>
                <w:szCs w:val="16"/>
                <w:lang w:val="it-CH" w:eastAsia="de-DE"/>
              </w:rPr>
              <w:t xml:space="preserve">. </w:t>
            </w:r>
            <w:r w:rsidRPr="00885BCE">
              <w:rPr>
                <w:rFonts w:eastAsia="Times New Roman" w:cs="Arial"/>
                <w:sz w:val="12"/>
                <w:szCs w:val="16"/>
                <w:lang w:val="it-CH" w:eastAsia="de-DE"/>
              </w:rPr>
              <w:t>gr</w:t>
            </w:r>
            <w:r w:rsidR="000F1313">
              <w:rPr>
                <w:rFonts w:eastAsia="Times New Roman" w:cs="Arial"/>
                <w:sz w:val="12"/>
                <w:szCs w:val="16"/>
                <w:lang w:val="it-CH" w:eastAsia="de-DE"/>
              </w:rPr>
              <w:t xml:space="preserve">u, muletti, carrelli elevatori, smantellare e montare autolavaggi, trasporto di mobili </w:t>
            </w:r>
            <w:r w:rsidR="00662CA7">
              <w:rPr>
                <w:rFonts w:eastAsia="Times New Roman" w:cs="Arial"/>
                <w:sz w:val="12"/>
                <w:szCs w:val="16"/>
                <w:lang w:val="it-CH" w:eastAsia="de-DE"/>
              </w:rPr>
              <w:t>o</w:t>
            </w:r>
            <w:r w:rsidR="000F1313">
              <w:rPr>
                <w:rFonts w:eastAsia="Times New Roman" w:cs="Arial"/>
                <w:sz w:val="12"/>
                <w:szCs w:val="16"/>
                <w:lang w:val="it-CH" w:eastAsia="de-DE"/>
              </w:rPr>
              <w:t xml:space="preserve"> refrigeranti, palette di piastrelle </w:t>
            </w:r>
            <w:r w:rsidR="00662CA7">
              <w:rPr>
                <w:rFonts w:eastAsia="Times New Roman" w:cs="Arial"/>
                <w:sz w:val="12"/>
                <w:szCs w:val="16"/>
                <w:lang w:val="it-CH" w:eastAsia="de-DE"/>
              </w:rPr>
              <w:t>o</w:t>
            </w:r>
            <w:r w:rsidR="000F1313">
              <w:rPr>
                <w:rFonts w:eastAsia="Times New Roman" w:cs="Arial"/>
                <w:sz w:val="12"/>
                <w:szCs w:val="16"/>
                <w:lang w:val="it-CH" w:eastAsia="de-DE"/>
              </w:rPr>
              <w:t xml:space="preserve"> panelli per costruzione a secco, prefabbricati in cemento Pompe, macchinari di tutti i tipi e </w:t>
            </w:r>
            <w:proofErr w:type="spellStart"/>
            <w:r w:rsidR="000F1313">
              <w:rPr>
                <w:rFonts w:eastAsia="Times New Roman" w:cs="Arial"/>
                <w:sz w:val="12"/>
                <w:szCs w:val="16"/>
                <w:lang w:val="it-CH" w:eastAsia="de-DE"/>
              </w:rPr>
              <w:t>cosi</w:t>
            </w:r>
            <w:proofErr w:type="spellEnd"/>
            <w:r w:rsidR="000F1313">
              <w:rPr>
                <w:rFonts w:eastAsia="Times New Roman" w:cs="Arial"/>
                <w:sz w:val="12"/>
                <w:szCs w:val="16"/>
                <w:lang w:val="it-CH" w:eastAsia="de-DE"/>
              </w:rPr>
              <w:t xml:space="preserve"> via.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thinDiagStripe" w:color="A6A6A6" w:themeColor="background1" w:themeShade="A6" w:fill="auto"/>
            <w:hideMark/>
          </w:tcPr>
          <w:p w14:paraId="59C04AB4" w14:textId="77777777" w:rsidR="004A0DFE" w:rsidRPr="00885BCE" w:rsidRDefault="004A0DFE" w:rsidP="006C259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</w:tr>
      <w:tr w:rsidR="004A0DFE" w:rsidRPr="00FB032C" w14:paraId="00BB573B" w14:textId="77777777" w:rsidTr="00DB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067B6A1C" w14:textId="77777777" w:rsidR="004A0DFE" w:rsidRPr="00885BCE" w:rsidRDefault="00BF411F" w:rsidP="004A0D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Separazione di parti di impianti con gas o aria compressa</w:t>
            </w:r>
          </w:p>
        </w:tc>
        <w:tc>
          <w:tcPr>
            <w:tcW w:w="4649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7A26733" w14:textId="77777777" w:rsidR="004A0DFE" w:rsidRPr="00885BCE" w:rsidRDefault="00A86093" w:rsidP="00954B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Impianti con gas infiammabili </w:t>
            </w:r>
            <w:r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(per es</w:t>
            </w:r>
            <w:r w:rsidR="00F87D0A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. </w:t>
            </w:r>
            <w:r w:rsidR="00553528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GNC/GNL</w:t>
            </w:r>
            <w:r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, GPL</w:t>
            </w:r>
            <w:r w:rsidR="004A0DFE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, H2)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:</w:t>
            </w:r>
          </w:p>
          <w:p w14:paraId="3C5DDDC1" w14:textId="77777777" w:rsidR="004A0DFE" w:rsidRPr="00885BCE" w:rsidRDefault="00A86093" w:rsidP="007749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Messa in esercizio di distributori di gas infiammabili</w:t>
            </w:r>
          </w:p>
          <w:p w14:paraId="781100DD" w14:textId="43F75C00" w:rsidR="004A0DFE" w:rsidRPr="007749AD" w:rsidRDefault="00A86093" w:rsidP="007749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Primo </w:t>
            </w:r>
            <w:r w:rsidR="00DC7999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rifornimento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="00DC7999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di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gas o</w:t>
            </w:r>
            <w:r w:rsidR="00F87D0A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="00553528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p</w:t>
            </w:r>
            <w:r w:rsidR="00662CA7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er la manutenzione di serbatoi con</w:t>
            </w:r>
            <w:r w:rsidR="00553528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apertura </w:t>
            </w:r>
            <w:r w:rsid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delle valvole</w:t>
            </w:r>
          </w:p>
          <w:p w14:paraId="3F5B10A0" w14:textId="4AF4EB7A" w:rsidR="004A0DFE" w:rsidRPr="00885BCE" w:rsidRDefault="002025FD" w:rsidP="007749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Combustione controllata o </w:t>
            </w:r>
            <w:r w:rsidR="00814499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fare defluire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gas</w:t>
            </w:r>
          </w:p>
          <w:p w14:paraId="2399AB29" w14:textId="2646458D" w:rsidR="004A0DFE" w:rsidRPr="007749AD" w:rsidRDefault="00553528" w:rsidP="0081449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Tutti i lavori di manutenzione, smontaggio o sostituzione di compon</w:t>
            </w:r>
            <w:r w:rsidR="00D458F3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enti/strumenti che non dispongono di valvole di </w:t>
            </w:r>
            <w:r w:rsidR="00814499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sbarramento</w:t>
            </w:r>
            <w:r w:rsidR="00D458F3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che rendono possibile </w:t>
            </w:r>
            <w:r w:rsidR="007749AD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una</w:t>
            </w:r>
            <w:r w:rsidR="00D458F3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decompressione o un</w:t>
            </w:r>
            <w:r w:rsid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a degassificazione</w:t>
            </w:r>
            <w:r w:rsidR="00D458F3"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.</w:t>
            </w:r>
          </w:p>
        </w:tc>
        <w:tc>
          <w:tcPr>
            <w:tcW w:w="4649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63D3BB0" w14:textId="232C3F51" w:rsidR="004A0DFE" w:rsidRPr="00954B23" w:rsidRDefault="006A399D" w:rsidP="0099721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954B23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Impianti con gas infiammabili</w:t>
            </w:r>
            <w:r w:rsidR="004A0DFE" w:rsidRPr="00954B23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Pr="00954B23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(per es. CNG/LNG, GPL, H2)</w:t>
            </w:r>
            <w:r w:rsidRPr="00954B23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:</w:t>
            </w:r>
          </w:p>
          <w:p w14:paraId="2627CA32" w14:textId="4578301B" w:rsidR="00D458F3" w:rsidRPr="007749AD" w:rsidRDefault="007749AD" w:rsidP="00954B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Tutti i lavori di manutenzione, smontaggio o sostituzione di componenti/strumenti che non dispongono di valvole di </w:t>
            </w:r>
            <w:r w:rsidR="00954B23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sbarramento</w:t>
            </w:r>
            <w:r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che rendono possibile una decompressione o un</w:t>
            </w: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a degassificazione</w:t>
            </w:r>
            <w:r w:rsidRPr="007749AD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.</w:t>
            </w:r>
          </w:p>
        </w:tc>
        <w:tc>
          <w:tcPr>
            <w:tcW w:w="4649" w:type="dxa"/>
            <w:tcBorders>
              <w:bottom w:val="single" w:sz="4" w:space="0" w:color="A6A6A6" w:themeColor="background1" w:themeShade="A6"/>
            </w:tcBorders>
            <w:shd w:val="thinDiagStripe" w:color="A6A6A6" w:themeColor="background1" w:themeShade="A6" w:fill="auto"/>
            <w:hideMark/>
          </w:tcPr>
          <w:p w14:paraId="5F84B25C" w14:textId="77777777" w:rsidR="004A0DFE" w:rsidRPr="00D458F3" w:rsidRDefault="004A0DFE" w:rsidP="006C259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</w:tr>
      <w:tr w:rsidR="004A0DFE" w:rsidRPr="00FB032C" w14:paraId="5A67409C" w14:textId="77777777" w:rsidTr="00DB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01" w:type="dxa"/>
            <w:vMerge/>
            <w:vAlign w:val="center"/>
            <w:hideMark/>
          </w:tcPr>
          <w:p w14:paraId="2E0E23D0" w14:textId="77777777" w:rsidR="004A0DFE" w:rsidRPr="00D458F3" w:rsidRDefault="004A0DFE" w:rsidP="004A0DF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thinDiagStripe" w:color="A6A6A6" w:themeColor="background1" w:themeShade="A6" w:fill="auto"/>
            <w:hideMark/>
          </w:tcPr>
          <w:p w14:paraId="6F80B0F0" w14:textId="77777777" w:rsidR="004A0DFE" w:rsidRPr="00D458F3" w:rsidRDefault="004A0DFE" w:rsidP="006C259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hideMark/>
          </w:tcPr>
          <w:p w14:paraId="3710CC61" w14:textId="77777777" w:rsidR="004A0DFE" w:rsidRPr="00885BCE" w:rsidRDefault="00AE50C6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Impianti/Strumenti senza gas infiammabili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(per es.</w:t>
            </w:r>
            <w:r w:rsidR="00F87D0A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aria compressa</w:t>
            </w:r>
            <w:r w:rsidR="00F87D0A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)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: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Pressione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&gt; 10bar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  <w:hideMark/>
          </w:tcPr>
          <w:p w14:paraId="1A7D77BD" w14:textId="77777777" w:rsidR="004A0DFE" w:rsidRPr="00885BCE" w:rsidRDefault="00AE50C6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Impianti/Strumenti senza gas infiammabili 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(per es. aria compressa)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: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  <w:t xml:space="preserve">Pressione </w:t>
            </w:r>
            <w:r w:rsidR="004A0DFE" w:rsidRPr="00885B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CH" w:eastAsia="de-DE"/>
              </w:rPr>
              <w:t>≤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10 bar</w:t>
            </w:r>
          </w:p>
        </w:tc>
      </w:tr>
      <w:tr w:rsidR="004A0DFE" w:rsidRPr="00FB032C" w14:paraId="4407101D" w14:textId="77777777" w:rsidTr="00621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3"/>
        </w:trPr>
        <w:tc>
          <w:tcPr>
            <w:tcW w:w="1701" w:type="dxa"/>
            <w:vMerge/>
            <w:vAlign w:val="center"/>
            <w:hideMark/>
          </w:tcPr>
          <w:p w14:paraId="46268E4B" w14:textId="77777777" w:rsidR="004A0DFE" w:rsidRPr="00885BCE" w:rsidRDefault="004A0DFE" w:rsidP="004A0DF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</w:tcBorders>
            <w:shd w:val="clear" w:color="000000" w:fill="FFFFFF"/>
            <w:hideMark/>
          </w:tcPr>
          <w:p w14:paraId="502DA31E" w14:textId="05250450" w:rsidR="004A0DFE" w:rsidRPr="00885BCE" w:rsidRDefault="007749AD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Inertizzazione e degassificazione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="009A45B6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di serbatoi</w:t>
            </w:r>
            <w:r w:rsidR="00553528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="009A45B6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o di scavi e </w:t>
            </w:r>
            <w:r w:rsidR="00553528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pozzi</w:t>
            </w:r>
            <w:r w:rsidR="009A45B6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con una profondità di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&gt; 1,25m,</w:t>
            </w:r>
            <w:r w:rsidR="0050103C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="009A45B6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che contengono </w:t>
            </w:r>
            <w:r w:rsidR="00DC7999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liquidi o gas infiammabili.</w:t>
            </w:r>
          </w:p>
          <w:p w14:paraId="01D7A7DE" w14:textId="2CCB21A5" w:rsidR="004A0DFE" w:rsidRPr="00885BCE" w:rsidRDefault="00DC7999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 che potrebbero causare</w:t>
            </w:r>
            <w:r w:rsidR="00553528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fuoriuscite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involontari</w:t>
            </w:r>
            <w:r w:rsidR="00553528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e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o incontrollate di prodotti, gas </w:t>
            </w:r>
            <w:r w:rsidR="0050103C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di prodotti 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o inerti </w:t>
            </w:r>
            <w:r w:rsidR="0050103C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che possono condurre a</w:t>
            </w:r>
            <w:r w:rsidR="00B92BA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esplosioni, asfissie, avvelenamenti o lesioni criogeniche</w:t>
            </w:r>
          </w:p>
          <w:p w14:paraId="494FADB0" w14:textId="2E2268FD" w:rsidR="004A0DFE" w:rsidRPr="00885BCE" w:rsidRDefault="00DC7999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Utilizzo di azoto, gas nobili, ghiaccio secco (CO2),…</w:t>
            </w:r>
            <w:r w:rsidR="0042329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per sciacquare</w:t>
            </w:r>
            <w:r w:rsidR="00621B97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e riempire parti dell’impianto di rifornimento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</w:tcBorders>
            <w:shd w:val="clear" w:color="auto" w:fill="auto"/>
            <w:hideMark/>
          </w:tcPr>
          <w:p w14:paraId="10C72211" w14:textId="4B39D31D" w:rsidR="00621B97" w:rsidRPr="00621B97" w:rsidRDefault="00621B97" w:rsidP="00621B9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 w:rsidRPr="00621B97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Sciacquamento</w:t>
            </w:r>
            <w:r>
              <w:rPr>
                <w:rFonts w:eastAsia="Times New Roman" w:cs="Arial"/>
                <w:sz w:val="16"/>
                <w:szCs w:val="16"/>
                <w:lang w:val="it-CH" w:eastAsia="de-DE"/>
              </w:rPr>
              <w:t xml:space="preserve"> di sistemi di raffreddamento per es. azoto con areazione e afflusso di aria fresca sufficiente 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</w:tcBorders>
            <w:shd w:val="thinDiagStripe" w:color="A6A6A6" w:themeColor="background1" w:themeShade="A6" w:fill="auto"/>
            <w:hideMark/>
          </w:tcPr>
          <w:p w14:paraId="4272AA96" w14:textId="77777777" w:rsidR="004A0DFE" w:rsidRPr="00885BCE" w:rsidRDefault="004A0DFE" w:rsidP="006C259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</w:p>
        </w:tc>
      </w:tr>
      <w:tr w:rsidR="004A0DFE" w:rsidRPr="006A41A8" w14:paraId="5241DD74" w14:textId="77777777" w:rsidTr="0069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701" w:type="dxa"/>
            <w:shd w:val="clear" w:color="000000" w:fill="D9D9D9"/>
            <w:vAlign w:val="center"/>
            <w:hideMark/>
          </w:tcPr>
          <w:p w14:paraId="5E01F749" w14:textId="77777777" w:rsidR="004A0DFE" w:rsidRPr="00885BCE" w:rsidRDefault="00BF411F" w:rsidP="004A0D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/>
                <w:bCs/>
                <w:sz w:val="16"/>
                <w:szCs w:val="16"/>
                <w:lang w:val="it-CH" w:eastAsia="de-DE"/>
              </w:rPr>
              <w:t>Altro, lavori non citati precedentemente</w:t>
            </w:r>
          </w:p>
        </w:tc>
        <w:tc>
          <w:tcPr>
            <w:tcW w:w="4649" w:type="dxa"/>
            <w:shd w:val="clear" w:color="000000" w:fill="FFFFFF"/>
            <w:hideMark/>
          </w:tcPr>
          <w:p w14:paraId="0614126F" w14:textId="4EFD750A" w:rsidR="00546298" w:rsidRPr="00621B97" w:rsidRDefault="00621B97" w:rsidP="0099721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621B97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</w:t>
            </w:r>
            <w:r w:rsidR="006A399D" w:rsidRPr="00621B97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con attrezzature, macchine e impalcature,</w:t>
            </w:r>
            <w:r w:rsidR="004A0DFE" w:rsidRPr="00621B97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</w:r>
            <w:r w:rsidR="006A399D" w:rsidRPr="00621B97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le cui parti costruttive rientrano nei rischi alti sopraccitati</w:t>
            </w:r>
          </w:p>
          <w:p w14:paraId="55F05C76" w14:textId="77777777" w:rsidR="004A0DFE" w:rsidRPr="00885BCE" w:rsidRDefault="006A399D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Forature e sondaggi</w:t>
            </w:r>
            <w:r w:rsidR="00AE39E2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all’interno delle zone di pericolo</w:t>
            </w:r>
          </w:p>
          <w:p w14:paraId="7B7BFF7C" w14:textId="2C0E0ED6" w:rsidR="004A0DFE" w:rsidRPr="00621B97" w:rsidRDefault="006A399D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Demolizioni e modifiche di strutture portanti</w:t>
            </w:r>
            <w:r w:rsidR="004A0DF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="004A0DFE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(</w:t>
            </w:r>
            <w:r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 xml:space="preserve">pareti, </w:t>
            </w:r>
            <w:r w:rsidR="00621B97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pilastri, ...</w:t>
            </w:r>
            <w:r w:rsidR="004A0DFE" w:rsidRPr="00885BCE">
              <w:rPr>
                <w:rFonts w:eastAsia="Times New Roman" w:cs="Arial"/>
                <w:bCs/>
                <w:sz w:val="12"/>
                <w:szCs w:val="16"/>
                <w:lang w:val="it-CH" w:eastAsia="de-DE"/>
              </w:rPr>
              <w:t>)</w:t>
            </w:r>
          </w:p>
          <w:p w14:paraId="0117F9BB" w14:textId="2B19B7FB" w:rsidR="00621B97" w:rsidRPr="00885BCE" w:rsidRDefault="00692E02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eccetera</w:t>
            </w:r>
          </w:p>
        </w:tc>
        <w:tc>
          <w:tcPr>
            <w:tcW w:w="4649" w:type="dxa"/>
            <w:shd w:val="clear" w:color="000000" w:fill="FFFFFF"/>
            <w:hideMark/>
          </w:tcPr>
          <w:p w14:paraId="0FD42CC4" w14:textId="45A9944B" w:rsidR="004A0DFE" w:rsidRPr="00885BCE" w:rsidRDefault="00621B97" w:rsidP="00692E0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</w:t>
            </w:r>
            <w:r w:rsidR="00AE50C6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con attrezzature, macchine e impalcature,</w:t>
            </w:r>
            <w:r w:rsidR="00AE50C6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br/>
              <w:t xml:space="preserve">le cui parti costruttive rientrano nei rischi medi sopraccitati o che necessitano </w:t>
            </w:r>
            <w:r w:rsidR="00885BCE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un’istruzione/certificato di competenza </w:t>
            </w:r>
            <w:r w:rsidR="00AE50C6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per le attrezzature, macchine e impalcature</w:t>
            </w:r>
          </w:p>
          <w:p w14:paraId="59C606A9" w14:textId="77777777" w:rsidR="00905742" w:rsidRPr="00885BCE" w:rsidRDefault="00905742" w:rsidP="0090574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Forature e sondaggi</w:t>
            </w:r>
            <w:r w:rsidR="00AE39E2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</w:t>
            </w:r>
            <w:r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all’esterno delle zone di pericolo</w:t>
            </w:r>
          </w:p>
          <w:p w14:paraId="32A4E90B" w14:textId="77777777" w:rsidR="004A0DFE" w:rsidRPr="00692E02" w:rsidRDefault="00692E02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Lavori</w:t>
            </w:r>
            <w:r w:rsidR="00905742" w:rsidRPr="00885BCE"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in</w:t>
            </w: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 xml:space="preserve"> zone di trafficate</w:t>
            </w:r>
          </w:p>
          <w:p w14:paraId="1CFA7439" w14:textId="08F73BFA" w:rsidR="00692E02" w:rsidRPr="00885BCE" w:rsidRDefault="00692E02" w:rsidP="009D40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it-CH" w:eastAsia="de-DE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  <w:t>eccetera</w:t>
            </w:r>
          </w:p>
        </w:tc>
        <w:tc>
          <w:tcPr>
            <w:tcW w:w="4649" w:type="dxa"/>
            <w:shd w:val="clear" w:color="000000" w:fill="FFFFFF"/>
          </w:tcPr>
          <w:p w14:paraId="4F498360" w14:textId="324A1900" w:rsidR="004A0DFE" w:rsidRPr="00692E02" w:rsidRDefault="004A0DFE" w:rsidP="00692E02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val="it-CH" w:eastAsia="de-DE"/>
              </w:rPr>
            </w:pPr>
          </w:p>
        </w:tc>
      </w:tr>
    </w:tbl>
    <w:p w14:paraId="43D99457" w14:textId="77777777" w:rsidR="009A40A1" w:rsidRPr="00885BCE" w:rsidRDefault="009A40A1" w:rsidP="008F7748">
      <w:pPr>
        <w:spacing w:after="0" w:line="240" w:lineRule="auto"/>
        <w:jc w:val="center"/>
        <w:rPr>
          <w:sz w:val="16"/>
          <w:lang w:val="it-CH"/>
        </w:rPr>
      </w:pPr>
    </w:p>
    <w:sectPr w:rsidR="009A40A1" w:rsidRPr="00885BCE" w:rsidSect="00335DBD">
      <w:headerReference w:type="default" r:id="rId1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6DEC" w14:textId="77777777" w:rsidR="007C03EA" w:rsidRDefault="007C03EA" w:rsidP="00335DBD">
      <w:pPr>
        <w:spacing w:after="0" w:line="240" w:lineRule="auto"/>
      </w:pPr>
      <w:r>
        <w:separator/>
      </w:r>
    </w:p>
  </w:endnote>
  <w:endnote w:type="continuationSeparator" w:id="0">
    <w:p w14:paraId="71FA8933" w14:textId="77777777" w:rsidR="007C03EA" w:rsidRDefault="007C03EA" w:rsidP="0033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45 Light"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F847" w14:textId="77777777" w:rsidR="007C03EA" w:rsidRDefault="007C03EA" w:rsidP="00335DBD">
      <w:pPr>
        <w:spacing w:after="0" w:line="240" w:lineRule="auto"/>
      </w:pPr>
      <w:r>
        <w:separator/>
      </w:r>
    </w:p>
  </w:footnote>
  <w:footnote w:type="continuationSeparator" w:id="0">
    <w:p w14:paraId="742396DC" w14:textId="77777777" w:rsidR="007C03EA" w:rsidRDefault="007C03EA" w:rsidP="0033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Spec="center" w:tblpY="1135"/>
      <w:tblOverlap w:val="never"/>
      <w:tblW w:w="15649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9995"/>
      <w:gridCol w:w="2826"/>
    </w:tblGrid>
    <w:tr w:rsidR="00335DBD" w14:paraId="4260E44F" w14:textId="77777777" w:rsidTr="00335DBD">
      <w:trPr>
        <w:trHeight w:hRule="exact" w:val="454"/>
      </w:trPr>
      <w:tc>
        <w:tcPr>
          <w:tcW w:w="2835" w:type="dxa"/>
          <w:vAlign w:val="center"/>
        </w:tcPr>
        <w:p w14:paraId="5BF3127B" w14:textId="0F3D19FA" w:rsidR="00335DBD" w:rsidRDefault="004A5FDB" w:rsidP="001F7E25">
          <w:pPr>
            <w:tabs>
              <w:tab w:val="left" w:pos="851"/>
            </w:tabs>
            <w:rPr>
              <w:sz w:val="16"/>
              <w:szCs w:val="16"/>
            </w:rPr>
          </w:pPr>
          <w:proofErr w:type="spellStart"/>
          <w:r>
            <w:rPr>
              <w:sz w:val="16"/>
            </w:rPr>
            <w:t>Autore</w:t>
          </w:r>
          <w:proofErr w:type="spellEnd"/>
          <w:r w:rsidR="00335DBD" w:rsidRPr="00E005AF">
            <w:rPr>
              <w:sz w:val="16"/>
            </w:rPr>
            <w:t>:</w:t>
          </w:r>
          <w:r w:rsidR="00335DBD">
            <w:rPr>
              <w:sz w:val="16"/>
            </w:rPr>
            <w:tab/>
          </w:r>
          <w:r w:rsidR="00335DBD" w:rsidRPr="00E005AF">
            <w:rPr>
              <w:sz w:val="16"/>
            </w:rPr>
            <w:t>BBS</w:t>
          </w:r>
          <w:r w:rsidR="00335DBD">
            <w:rPr>
              <w:sz w:val="16"/>
            </w:rPr>
            <w:br/>
          </w:r>
          <w:proofErr w:type="spellStart"/>
          <w:r w:rsidR="00F25204">
            <w:rPr>
              <w:sz w:val="16"/>
            </w:rPr>
            <w:t>Stato</w:t>
          </w:r>
          <w:proofErr w:type="spellEnd"/>
          <w:r w:rsidR="00335DBD" w:rsidRPr="00E005AF">
            <w:rPr>
              <w:sz w:val="16"/>
            </w:rPr>
            <w:t>:</w:t>
          </w:r>
          <w:r w:rsidR="00335DBD">
            <w:rPr>
              <w:sz w:val="16"/>
            </w:rPr>
            <w:tab/>
          </w:r>
          <w:proofErr w:type="spellStart"/>
          <w:r w:rsidR="00D625B4">
            <w:rPr>
              <w:sz w:val="16"/>
            </w:rPr>
            <w:t>Ottobre</w:t>
          </w:r>
          <w:proofErr w:type="spellEnd"/>
          <w:r w:rsidR="00D625B4">
            <w:rPr>
              <w:sz w:val="16"/>
            </w:rPr>
            <w:t xml:space="preserve"> 2021</w:t>
          </w:r>
        </w:p>
      </w:tc>
      <w:tc>
        <w:tcPr>
          <w:tcW w:w="10035" w:type="dxa"/>
          <w:vAlign w:val="center"/>
        </w:tcPr>
        <w:p w14:paraId="1718DBF7" w14:textId="77777777" w:rsidR="00335DBD" w:rsidRPr="00F25204" w:rsidRDefault="00F25204" w:rsidP="00D04D58">
          <w:pPr>
            <w:jc w:val="center"/>
            <w:rPr>
              <w:sz w:val="16"/>
              <w:szCs w:val="16"/>
              <w:lang w:val="it-CH"/>
            </w:rPr>
          </w:pPr>
          <w:r w:rsidRPr="00F25204">
            <w:rPr>
              <w:b/>
              <w:lang w:val="it-CH"/>
            </w:rPr>
            <w:t>Sistema PTW</w:t>
          </w:r>
          <w:r w:rsidR="00335DBD" w:rsidRPr="00F25204">
            <w:rPr>
              <w:b/>
              <w:lang w:val="it-CH"/>
            </w:rPr>
            <w:t xml:space="preserve"> </w:t>
          </w:r>
          <w:r w:rsidRPr="00F25204">
            <w:rPr>
              <w:b/>
              <w:lang w:val="it-CH"/>
            </w:rPr>
            <w:t>e tabella delle attività</w:t>
          </w:r>
        </w:p>
      </w:tc>
      <w:tc>
        <w:tcPr>
          <w:tcW w:w="2835" w:type="dxa"/>
          <w:vAlign w:val="center"/>
        </w:tcPr>
        <w:p w14:paraId="2FBB600F" w14:textId="04F841B3" w:rsidR="00335DBD" w:rsidRPr="00D37D49" w:rsidRDefault="00F25204" w:rsidP="00335DBD">
          <w:pPr>
            <w:tabs>
              <w:tab w:val="left" w:pos="851"/>
            </w:tabs>
            <w:jc w:val="center"/>
          </w:pPr>
          <w:proofErr w:type="spellStart"/>
          <w:r>
            <w:t>Pagina</w:t>
          </w:r>
          <w:proofErr w:type="spellEnd"/>
          <w:r w:rsidR="00335DBD" w:rsidRPr="00A849EF">
            <w:t xml:space="preserve"> </w:t>
          </w:r>
          <w:r w:rsidR="00335DBD" w:rsidRPr="00A849EF">
            <w:fldChar w:fldCharType="begin"/>
          </w:r>
          <w:r w:rsidR="00335DBD" w:rsidRPr="00A849EF">
            <w:instrText xml:space="preserve"> PAGE   \* MERGEFORMAT </w:instrText>
          </w:r>
          <w:r w:rsidR="00335DBD" w:rsidRPr="00A849EF">
            <w:fldChar w:fldCharType="separate"/>
          </w:r>
          <w:r w:rsidR="0008669C">
            <w:rPr>
              <w:noProof/>
            </w:rPr>
            <w:t>3</w:t>
          </w:r>
          <w:r w:rsidR="00335DBD" w:rsidRPr="00A849EF">
            <w:fldChar w:fldCharType="end"/>
          </w:r>
          <w:r w:rsidR="00335DBD" w:rsidRPr="00A849EF">
            <w:t>/</w:t>
          </w:r>
          <w:r w:rsidR="007C03EA">
            <w:fldChar w:fldCharType="begin"/>
          </w:r>
          <w:r w:rsidR="007C03EA">
            <w:instrText xml:space="preserve"> NUMPAGES   \* MERGEFORMAT </w:instrText>
          </w:r>
          <w:r w:rsidR="007C03EA">
            <w:fldChar w:fldCharType="separate"/>
          </w:r>
          <w:r w:rsidR="0008669C">
            <w:rPr>
              <w:noProof/>
            </w:rPr>
            <w:t>3</w:t>
          </w:r>
          <w:r w:rsidR="007C03EA">
            <w:rPr>
              <w:noProof/>
            </w:rPr>
            <w:fldChar w:fldCharType="end"/>
          </w:r>
        </w:p>
      </w:tc>
    </w:tr>
  </w:tbl>
  <w:p w14:paraId="1A2381C5" w14:textId="77777777" w:rsidR="00335DBD" w:rsidRDefault="00335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E4B"/>
    <w:multiLevelType w:val="hybridMultilevel"/>
    <w:tmpl w:val="1AFA4924"/>
    <w:lvl w:ilvl="0" w:tplc="FECEB0C8">
      <w:start w:val="1"/>
      <w:numFmt w:val="bullet"/>
      <w:lvlText w:val="–"/>
      <w:lvlJc w:val="left"/>
      <w:pPr>
        <w:ind w:left="720" w:hanging="360"/>
      </w:pPr>
      <w:rPr>
        <w:rFonts w:ascii="Univers 45 Light" w:hAnsi="Univers 45 Light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08E"/>
    <w:multiLevelType w:val="hybridMultilevel"/>
    <w:tmpl w:val="EAFA08A4"/>
    <w:lvl w:ilvl="0" w:tplc="0407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2676283C"/>
    <w:multiLevelType w:val="hybridMultilevel"/>
    <w:tmpl w:val="C45A2E9A"/>
    <w:lvl w:ilvl="0" w:tplc="CE0E7D14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  <w:i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723A"/>
    <w:multiLevelType w:val="hybridMultilevel"/>
    <w:tmpl w:val="E6807F38"/>
    <w:lvl w:ilvl="0" w:tplc="74102A2E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60A48"/>
    <w:multiLevelType w:val="hybridMultilevel"/>
    <w:tmpl w:val="485ED50E"/>
    <w:lvl w:ilvl="0" w:tplc="CE648C12">
      <w:start w:val="1"/>
      <w:numFmt w:val="bullet"/>
      <w:lvlText w:val="–"/>
      <w:lvlJc w:val="left"/>
      <w:pPr>
        <w:ind w:left="360" w:hanging="360"/>
      </w:pPr>
      <w:rPr>
        <w:rFonts w:ascii="Univers 45 Light" w:hAnsi="Univers 45 L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B7AD9"/>
    <w:multiLevelType w:val="hybridMultilevel"/>
    <w:tmpl w:val="73C82BD4"/>
    <w:lvl w:ilvl="0" w:tplc="CE648C12">
      <w:start w:val="1"/>
      <w:numFmt w:val="bullet"/>
      <w:lvlText w:val="–"/>
      <w:lvlJc w:val="left"/>
      <w:pPr>
        <w:ind w:left="720" w:hanging="360"/>
      </w:pPr>
      <w:rPr>
        <w:rFonts w:ascii="Univers 45 Light" w:hAnsi="Univers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2A9A"/>
    <w:multiLevelType w:val="hybridMultilevel"/>
    <w:tmpl w:val="0C50BA26"/>
    <w:lvl w:ilvl="0" w:tplc="A138840A">
      <w:start w:val="1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  <w:i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3E57"/>
    <w:multiLevelType w:val="hybridMultilevel"/>
    <w:tmpl w:val="62CCB842"/>
    <w:lvl w:ilvl="0" w:tplc="7A0EE6AE">
      <w:start w:val="1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  <w:i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AE5"/>
    <w:multiLevelType w:val="hybridMultilevel"/>
    <w:tmpl w:val="85385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D"/>
    <w:rsid w:val="00020541"/>
    <w:rsid w:val="00057F64"/>
    <w:rsid w:val="0008669C"/>
    <w:rsid w:val="000C2AE6"/>
    <w:rsid w:val="000E3A62"/>
    <w:rsid w:val="000F1313"/>
    <w:rsid w:val="001060B7"/>
    <w:rsid w:val="00135364"/>
    <w:rsid w:val="001441A1"/>
    <w:rsid w:val="00163E79"/>
    <w:rsid w:val="001B04A0"/>
    <w:rsid w:val="001B3930"/>
    <w:rsid w:val="001B4370"/>
    <w:rsid w:val="001E160A"/>
    <w:rsid w:val="001F603B"/>
    <w:rsid w:val="001F68CB"/>
    <w:rsid w:val="001F7E25"/>
    <w:rsid w:val="002025FD"/>
    <w:rsid w:val="0020567E"/>
    <w:rsid w:val="00211B9F"/>
    <w:rsid w:val="002142B3"/>
    <w:rsid w:val="002328E7"/>
    <w:rsid w:val="00260891"/>
    <w:rsid w:val="00271BE9"/>
    <w:rsid w:val="00274447"/>
    <w:rsid w:val="00287CA0"/>
    <w:rsid w:val="0029048B"/>
    <w:rsid w:val="002B5315"/>
    <w:rsid w:val="002C3F74"/>
    <w:rsid w:val="002F4F6A"/>
    <w:rsid w:val="002F54DC"/>
    <w:rsid w:val="002F7270"/>
    <w:rsid w:val="00322C55"/>
    <w:rsid w:val="00332E57"/>
    <w:rsid w:val="003356E4"/>
    <w:rsid w:val="00335DBD"/>
    <w:rsid w:val="00344D07"/>
    <w:rsid w:val="00357162"/>
    <w:rsid w:val="00377D12"/>
    <w:rsid w:val="003A33F3"/>
    <w:rsid w:val="003A5BB7"/>
    <w:rsid w:val="003B62A9"/>
    <w:rsid w:val="003D57C4"/>
    <w:rsid w:val="003E5D80"/>
    <w:rsid w:val="003F4390"/>
    <w:rsid w:val="003F4C0A"/>
    <w:rsid w:val="00413719"/>
    <w:rsid w:val="0042140A"/>
    <w:rsid w:val="0042329E"/>
    <w:rsid w:val="0043052C"/>
    <w:rsid w:val="00464FCA"/>
    <w:rsid w:val="004658E7"/>
    <w:rsid w:val="00475BA0"/>
    <w:rsid w:val="004A0DFE"/>
    <w:rsid w:val="004A5FDB"/>
    <w:rsid w:val="004B072B"/>
    <w:rsid w:val="004E57DB"/>
    <w:rsid w:val="004F248F"/>
    <w:rsid w:val="0050103C"/>
    <w:rsid w:val="00502509"/>
    <w:rsid w:val="0051133C"/>
    <w:rsid w:val="005170F6"/>
    <w:rsid w:val="00546298"/>
    <w:rsid w:val="005476DD"/>
    <w:rsid w:val="00553528"/>
    <w:rsid w:val="00561F7B"/>
    <w:rsid w:val="005849CD"/>
    <w:rsid w:val="00593456"/>
    <w:rsid w:val="00595CCD"/>
    <w:rsid w:val="00596C29"/>
    <w:rsid w:val="005B5273"/>
    <w:rsid w:val="005E1D20"/>
    <w:rsid w:val="005F5614"/>
    <w:rsid w:val="00602FD9"/>
    <w:rsid w:val="0060661C"/>
    <w:rsid w:val="0061281F"/>
    <w:rsid w:val="006133DA"/>
    <w:rsid w:val="00621B97"/>
    <w:rsid w:val="006231F6"/>
    <w:rsid w:val="00635289"/>
    <w:rsid w:val="00641F88"/>
    <w:rsid w:val="00653E8B"/>
    <w:rsid w:val="0065743B"/>
    <w:rsid w:val="00662CA7"/>
    <w:rsid w:val="00667FE4"/>
    <w:rsid w:val="00692E02"/>
    <w:rsid w:val="006A399D"/>
    <w:rsid w:val="006A41A8"/>
    <w:rsid w:val="006B1F86"/>
    <w:rsid w:val="006C259E"/>
    <w:rsid w:val="006D0F25"/>
    <w:rsid w:val="00716A6C"/>
    <w:rsid w:val="0072679F"/>
    <w:rsid w:val="00734A1A"/>
    <w:rsid w:val="0074572E"/>
    <w:rsid w:val="00762C70"/>
    <w:rsid w:val="007749AD"/>
    <w:rsid w:val="007751DF"/>
    <w:rsid w:val="00775ACB"/>
    <w:rsid w:val="007839C7"/>
    <w:rsid w:val="007855EF"/>
    <w:rsid w:val="007B56B5"/>
    <w:rsid w:val="007B57E3"/>
    <w:rsid w:val="007C03EA"/>
    <w:rsid w:val="00812B27"/>
    <w:rsid w:val="00814499"/>
    <w:rsid w:val="008568A4"/>
    <w:rsid w:val="008813AB"/>
    <w:rsid w:val="00883044"/>
    <w:rsid w:val="00885BCE"/>
    <w:rsid w:val="00893253"/>
    <w:rsid w:val="00893DCE"/>
    <w:rsid w:val="008C20A9"/>
    <w:rsid w:val="008D1E65"/>
    <w:rsid w:val="008E1615"/>
    <w:rsid w:val="008F7748"/>
    <w:rsid w:val="00905742"/>
    <w:rsid w:val="00912691"/>
    <w:rsid w:val="00951225"/>
    <w:rsid w:val="00954B23"/>
    <w:rsid w:val="00961EAD"/>
    <w:rsid w:val="0096209B"/>
    <w:rsid w:val="00997219"/>
    <w:rsid w:val="009A40A1"/>
    <w:rsid w:val="009A45B6"/>
    <w:rsid w:val="009A51B1"/>
    <w:rsid w:val="009C224D"/>
    <w:rsid w:val="009D40EE"/>
    <w:rsid w:val="009E1C68"/>
    <w:rsid w:val="009F21C7"/>
    <w:rsid w:val="00A65DB5"/>
    <w:rsid w:val="00A8258F"/>
    <w:rsid w:val="00A86093"/>
    <w:rsid w:val="00A90B29"/>
    <w:rsid w:val="00AB28BC"/>
    <w:rsid w:val="00AD1B49"/>
    <w:rsid w:val="00AE39E2"/>
    <w:rsid w:val="00AE50C6"/>
    <w:rsid w:val="00AF48D9"/>
    <w:rsid w:val="00B15A8C"/>
    <w:rsid w:val="00B34E9D"/>
    <w:rsid w:val="00B45841"/>
    <w:rsid w:val="00B51D59"/>
    <w:rsid w:val="00B80B31"/>
    <w:rsid w:val="00B92BAE"/>
    <w:rsid w:val="00B9641B"/>
    <w:rsid w:val="00B976CF"/>
    <w:rsid w:val="00BA4C40"/>
    <w:rsid w:val="00BB372D"/>
    <w:rsid w:val="00BB453A"/>
    <w:rsid w:val="00BB4876"/>
    <w:rsid w:val="00BC4B6D"/>
    <w:rsid w:val="00BC527C"/>
    <w:rsid w:val="00BE448E"/>
    <w:rsid w:val="00BF411F"/>
    <w:rsid w:val="00C301DB"/>
    <w:rsid w:val="00C44743"/>
    <w:rsid w:val="00C80A67"/>
    <w:rsid w:val="00D04D58"/>
    <w:rsid w:val="00D36C51"/>
    <w:rsid w:val="00D37081"/>
    <w:rsid w:val="00D42AD7"/>
    <w:rsid w:val="00D458F3"/>
    <w:rsid w:val="00D500EB"/>
    <w:rsid w:val="00D625B4"/>
    <w:rsid w:val="00D81C76"/>
    <w:rsid w:val="00D9132A"/>
    <w:rsid w:val="00DA4830"/>
    <w:rsid w:val="00DB70E6"/>
    <w:rsid w:val="00DC7999"/>
    <w:rsid w:val="00DF53DF"/>
    <w:rsid w:val="00E047CC"/>
    <w:rsid w:val="00E21A5A"/>
    <w:rsid w:val="00E43F4D"/>
    <w:rsid w:val="00E5241B"/>
    <w:rsid w:val="00E66D5A"/>
    <w:rsid w:val="00E741C3"/>
    <w:rsid w:val="00E75242"/>
    <w:rsid w:val="00E81BCB"/>
    <w:rsid w:val="00EA46DB"/>
    <w:rsid w:val="00EB2681"/>
    <w:rsid w:val="00EC5BC1"/>
    <w:rsid w:val="00ED5769"/>
    <w:rsid w:val="00F25204"/>
    <w:rsid w:val="00F32A73"/>
    <w:rsid w:val="00F52D9A"/>
    <w:rsid w:val="00F718DB"/>
    <w:rsid w:val="00F81644"/>
    <w:rsid w:val="00F87D0A"/>
    <w:rsid w:val="00F9202C"/>
    <w:rsid w:val="00FB032C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50D4"/>
  <w15:docId w15:val="{102EB5A6-26DB-4DC5-A60B-A38D23DF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60A"/>
    <w:rPr>
      <w:rFonts w:ascii="Univers 45 Light" w:hAnsi="Univers 45 Light"/>
    </w:rPr>
  </w:style>
  <w:style w:type="paragraph" w:styleId="berschrift1">
    <w:name w:val="heading 1"/>
    <w:aliases w:val="Title 1"/>
    <w:basedOn w:val="Standard"/>
    <w:next w:val="Standard"/>
    <w:link w:val="berschrift1Zchn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aliases w:val="Title 2"/>
    <w:basedOn w:val="Standard"/>
    <w:next w:val="Standard"/>
    <w:link w:val="berschrift2Zchn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aliases w:val="Title 3"/>
    <w:basedOn w:val="Standard"/>
    <w:next w:val="Standard"/>
    <w:link w:val="berschrift3Zchn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aliases w:val="Title 4"/>
    <w:basedOn w:val="Standard"/>
    <w:next w:val="Standard"/>
    <w:link w:val="berschrift4Zchn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aliases w:val="Title 5"/>
    <w:basedOn w:val="Standard"/>
    <w:next w:val="Standard"/>
    <w:link w:val="berschrift5Zchn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2F4F6A"/>
    <w:pPr>
      <w:spacing w:after="0" w:line="240" w:lineRule="auto"/>
    </w:pPr>
  </w:style>
  <w:style w:type="character" w:customStyle="1" w:styleId="berschrift1Zchn">
    <w:name w:val="Überschrift 1 Zchn"/>
    <w:aliases w:val="Title 1 Zchn"/>
    <w:basedOn w:val="Absatz-Standardschriftart"/>
    <w:link w:val="berschrift1"/>
    <w:uiPriority w:val="9"/>
    <w:rsid w:val="002F4F6A"/>
    <w:rPr>
      <w:smallCaps/>
      <w:spacing w:val="5"/>
      <w:sz w:val="32"/>
      <w:szCs w:val="32"/>
    </w:rPr>
  </w:style>
  <w:style w:type="character" w:customStyle="1" w:styleId="berschrift2Zchn">
    <w:name w:val="Überschrift 2 Zchn"/>
    <w:aliases w:val="Title 2 Zchn"/>
    <w:basedOn w:val="Absatz-Standardschriftart"/>
    <w:link w:val="berschrift2"/>
    <w:uiPriority w:val="9"/>
    <w:rsid w:val="002F4F6A"/>
    <w:rPr>
      <w:smallCaps/>
      <w:spacing w:val="5"/>
      <w:sz w:val="28"/>
      <w:szCs w:val="28"/>
    </w:rPr>
  </w:style>
  <w:style w:type="character" w:customStyle="1" w:styleId="berschrift3Zchn">
    <w:name w:val="Überschrift 3 Zchn"/>
    <w:aliases w:val="Title 3 Zchn"/>
    <w:basedOn w:val="Absatz-Standardschriftart"/>
    <w:link w:val="berschrift3"/>
    <w:uiPriority w:val="9"/>
    <w:rsid w:val="002F4F6A"/>
    <w:rPr>
      <w:smallCaps/>
      <w:spacing w:val="5"/>
      <w:sz w:val="24"/>
      <w:szCs w:val="24"/>
    </w:rPr>
  </w:style>
  <w:style w:type="character" w:customStyle="1" w:styleId="berschrift4Zchn">
    <w:name w:val="Überschrift 4 Zchn"/>
    <w:aliases w:val="Title 4 Zchn"/>
    <w:basedOn w:val="Absatz-Standardschriftart"/>
    <w:link w:val="berschrift4"/>
    <w:uiPriority w:val="9"/>
    <w:rsid w:val="002F4F6A"/>
    <w:rPr>
      <w:smallCaps/>
      <w:spacing w:val="10"/>
      <w:sz w:val="22"/>
      <w:szCs w:val="22"/>
    </w:rPr>
  </w:style>
  <w:style w:type="character" w:customStyle="1" w:styleId="berschrift5Zchn">
    <w:name w:val="Überschrift 5 Zchn"/>
    <w:aliases w:val="Title 5 Zchn"/>
    <w:basedOn w:val="Absatz-Standardschriftart"/>
    <w:link w:val="berschrift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F4F6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F4F6A"/>
    <w:rPr>
      <w:b/>
      <w:color w:val="C0504D" w:themeColor="accent2"/>
    </w:rPr>
  </w:style>
  <w:style w:type="character" w:styleId="Hervorhebung">
    <w:name w:val="Emphasis"/>
    <w:uiPriority w:val="20"/>
    <w:qFormat/>
    <w:rsid w:val="002F4F6A"/>
    <w:rPr>
      <w:b/>
      <w:i/>
      <w:spacing w:val="10"/>
    </w:rPr>
  </w:style>
  <w:style w:type="paragraph" w:styleId="Listenabsatz">
    <w:name w:val="List Paragraph"/>
    <w:basedOn w:val="Standard"/>
    <w:uiPriority w:val="34"/>
    <w:qFormat/>
    <w:rsid w:val="002F4F6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F4F6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F4F6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F4F6A"/>
    <w:rPr>
      <w:i/>
    </w:rPr>
  </w:style>
  <w:style w:type="character" w:styleId="IntensiveHervorhebung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F4F6A"/>
    <w:rPr>
      <w:b/>
    </w:rPr>
  </w:style>
  <w:style w:type="character" w:styleId="IntensiverVerweis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4F6A"/>
  </w:style>
  <w:style w:type="paragraph" w:styleId="Kopfzeile">
    <w:name w:val="header"/>
    <w:basedOn w:val="Standard"/>
    <w:link w:val="KopfzeileZchn"/>
    <w:uiPriority w:val="99"/>
    <w:unhideWhenUsed/>
    <w:rsid w:val="0033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DBD"/>
    <w:rPr>
      <w:rFonts w:ascii="Univers 45 Light" w:hAnsi="Univers 45 Light"/>
    </w:rPr>
  </w:style>
  <w:style w:type="paragraph" w:styleId="Fuzeile">
    <w:name w:val="footer"/>
    <w:basedOn w:val="Standard"/>
    <w:link w:val="FuzeileZchn"/>
    <w:uiPriority w:val="99"/>
    <w:unhideWhenUsed/>
    <w:rsid w:val="0033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DBD"/>
    <w:rPr>
      <w:rFonts w:ascii="Univers 45 Light" w:hAnsi="Univers 45 Light"/>
    </w:rPr>
  </w:style>
  <w:style w:type="table" w:styleId="Tabellenraster">
    <w:name w:val="Table Grid"/>
    <w:basedOn w:val="NormaleTabelle"/>
    <w:rsid w:val="0033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6DB75045C544EA4EC51ADCB296EDF" ma:contentTypeVersion="6" ma:contentTypeDescription="Crée un document." ma:contentTypeScope="" ma:versionID="ac12cc96aa0ef428f0f6336434280774">
  <xsd:schema xmlns:xsd="http://www.w3.org/2001/XMLSchema" xmlns:xs="http://www.w3.org/2001/XMLSchema" xmlns:p="http://schemas.microsoft.com/office/2006/metadata/properties" xmlns:ns3="dde8efdf-faa0-49fb-b236-bf0abd37f5c7" targetNamespace="http://schemas.microsoft.com/office/2006/metadata/properties" ma:root="true" ma:fieldsID="c137dd42a740bf787fa9516e456ad21e" ns3:_="">
    <xsd:import namespace="dde8efdf-faa0-49fb-b236-bf0abd37f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efdf-faa0-49fb-b236-bf0abd37f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8FAEF-85BB-4017-A314-D625C1CC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4A55-981C-40DF-9B15-B991CF8CC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24DFF-EB14-4B8E-B4E5-29C57275E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8efdf-faa0-49fb-b236-bf0abd37f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8226</Characters>
  <Application>Microsoft Office Word</Application>
  <DocSecurity>0</DocSecurity>
  <Lines>68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BP International Ltd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Dirk</dc:creator>
  <cp:keywords/>
  <dc:description/>
  <cp:lastModifiedBy>SOTH Burkhard</cp:lastModifiedBy>
  <cp:revision>3</cp:revision>
  <cp:lastPrinted>2017-07-04T07:36:00Z</cp:lastPrinted>
  <dcterms:created xsi:type="dcterms:W3CDTF">2021-10-14T08:11:00Z</dcterms:created>
  <dcterms:modified xsi:type="dcterms:W3CDTF">2021-10-28T06:20:00Z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0x0101008746DB75045C544EA4EC51ADCB296EDF</vt:lpwstr>
  </property>
</Properties>
</file>